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C" w:rsidRPr="00A31F5C" w:rsidRDefault="00A31F5C" w:rsidP="00A31F5C">
      <w:pPr>
        <w:rPr>
          <w:b/>
          <w:color w:val="C00000"/>
          <w:sz w:val="28"/>
          <w:szCs w:val="28"/>
        </w:rPr>
      </w:pPr>
      <w:r w:rsidRPr="00A31F5C">
        <w:rPr>
          <w:b/>
          <w:color w:val="C00000"/>
          <w:sz w:val="28"/>
          <w:szCs w:val="28"/>
        </w:rPr>
        <w:t>Area Map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AEEF3" w:themeFill="accent5" w:themeFillTint="33"/>
        <w:tblLook w:val="04A0"/>
      </w:tblPr>
      <w:tblGrid>
        <w:gridCol w:w="2835"/>
        <w:gridCol w:w="2835"/>
      </w:tblGrid>
      <w:tr w:rsidR="00A31F5C" w:rsidRPr="002710DF" w:rsidTr="002076DE">
        <w:tc>
          <w:tcPr>
            <w:tcW w:w="2835" w:type="dxa"/>
            <w:shd w:val="clear" w:color="auto" w:fill="D9D9D9" w:themeFill="background1" w:themeFillShade="D9"/>
          </w:tcPr>
          <w:p w:rsidR="00A31F5C" w:rsidRPr="002710DF" w:rsidRDefault="00A31F5C" w:rsidP="002076DE">
            <w:pPr>
              <w:spacing w:after="0"/>
              <w:rPr>
                <w:rFonts w:ascii="Arial" w:hAnsi="Arial" w:cs="Arial"/>
              </w:rPr>
            </w:pPr>
            <w:r w:rsidRPr="002710DF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Area </w:t>
            </w:r>
            <w:r w:rsidRPr="002710DF">
              <w:rPr>
                <w:rFonts w:ascii="Arial" w:hAnsi="Arial" w:cs="Arial"/>
              </w:rPr>
              <w:t xml:space="preserve">Map </w:t>
            </w:r>
            <w:r>
              <w:rPr>
                <w:rFonts w:ascii="Arial" w:hAnsi="Arial" w:cs="Arial"/>
              </w:rPr>
              <w:t>Validated</w:t>
            </w:r>
            <w:r w:rsidRPr="002710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31F5C" w:rsidRPr="002710DF" w:rsidRDefault="00A31F5C" w:rsidP="002076D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31F5C" w:rsidRPr="00C81103" w:rsidRDefault="00A31F5C" w:rsidP="00A31F5C">
      <w:pPr>
        <w:spacing w:line="160" w:lineRule="atLeast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8625"/>
      </w:tblGrid>
      <w:tr w:rsidR="00A31F5C" w:rsidRPr="003B30E8" w:rsidTr="002076DE">
        <w:trPr>
          <w:trHeight w:val="7780"/>
        </w:trPr>
        <w:tc>
          <w:tcPr>
            <w:tcW w:w="8625" w:type="dxa"/>
          </w:tcPr>
          <w:p w:rsidR="00A31F5C" w:rsidRPr="003B30E8" w:rsidRDefault="00A31F5C" w:rsidP="002076DE">
            <w:pPr>
              <w:jc w:val="center"/>
              <w:rPr>
                <w:rFonts w:ascii="Arial" w:hAnsi="Arial" w:cs="Arial"/>
              </w:rPr>
            </w:pPr>
          </w:p>
          <w:p w:rsidR="00A31F5C" w:rsidRPr="003B30E8" w:rsidRDefault="00A31F5C" w:rsidP="002076DE">
            <w:pPr>
              <w:jc w:val="center"/>
              <w:rPr>
                <w:rFonts w:ascii="Arial" w:hAnsi="Arial" w:cs="Arial"/>
              </w:rPr>
            </w:pPr>
          </w:p>
          <w:p w:rsidR="00A31F5C" w:rsidRPr="003B30E8" w:rsidRDefault="00A31F5C" w:rsidP="002076DE">
            <w:pPr>
              <w:jc w:val="center"/>
              <w:rPr>
                <w:rFonts w:ascii="Arial" w:hAnsi="Arial" w:cs="Arial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5548F">
              <w:rPr>
                <w:rFonts w:ascii="Arial" w:hAnsi="Arial" w:cs="Arial"/>
              </w:rPr>
              <w:t xml:space="preserve">Insert your </w:t>
            </w:r>
            <w:r>
              <w:rPr>
                <w:rFonts w:ascii="Arial" w:hAnsi="Arial" w:cs="Arial"/>
              </w:rPr>
              <w:t xml:space="preserve">Area map </w:t>
            </w:r>
            <w:r w:rsidRPr="0015548F">
              <w:rPr>
                <w:rFonts w:ascii="Arial" w:hAnsi="Arial" w:cs="Arial"/>
              </w:rPr>
              <w:t xml:space="preserve">here. Refer to the </w:t>
            </w:r>
            <w:r>
              <w:rPr>
                <w:rFonts w:ascii="Arial" w:hAnsi="Arial" w:cs="Arial"/>
              </w:rPr>
              <w:t>Area map</w:t>
            </w:r>
            <w:r w:rsidRPr="0015548F">
              <w:rPr>
                <w:rFonts w:ascii="Arial" w:hAnsi="Arial" w:cs="Arial"/>
              </w:rPr>
              <w:t xml:space="preserve"> section of the Guide </w:t>
            </w:r>
            <w:r>
              <w:rPr>
                <w:rFonts w:ascii="Arial" w:hAnsi="Arial" w:cs="Arial"/>
              </w:rPr>
              <w:t xml:space="preserve">to Developing an Emergency Management Plan </w:t>
            </w:r>
            <w:r w:rsidRPr="00E42FA1">
              <w:rPr>
                <w:rFonts w:ascii="Arial" w:hAnsi="Arial" w:cs="Arial"/>
              </w:rPr>
              <w:t xml:space="preserve">DET Victoria </w:t>
            </w:r>
            <w:r w:rsidRPr="0015548F">
              <w:rPr>
                <w:rFonts w:ascii="Arial" w:hAnsi="Arial" w:cs="Arial"/>
              </w:rPr>
              <w:t xml:space="preserve">for assistance.  To access an online tutorial on how to create </w:t>
            </w:r>
            <w:r>
              <w:rPr>
                <w:rFonts w:ascii="Arial" w:hAnsi="Arial" w:cs="Arial"/>
              </w:rPr>
              <w:t>your area map</w:t>
            </w:r>
            <w:r w:rsidRPr="0015548F">
              <w:rPr>
                <w:rFonts w:ascii="Arial" w:hAnsi="Arial" w:cs="Arial"/>
              </w:rPr>
              <w:t xml:space="preserve"> go to </w:t>
            </w:r>
            <w:hyperlink r:id="rId6" w:history="1">
              <w:r w:rsidRPr="00F03C40">
                <w:rPr>
                  <w:rStyle w:val="Hyperlink"/>
                  <w:rFonts w:ascii="Arial" w:hAnsi="Arial" w:cs="Arial"/>
                </w:rPr>
                <w:t>www.education.vic.gov.au/about/programs/health/Pages/emptutorials</w:t>
              </w:r>
            </w:hyperlink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/>
            </w:tblPr>
            <w:tblGrid>
              <w:gridCol w:w="4928"/>
              <w:gridCol w:w="1276"/>
            </w:tblGrid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/>
                    <w:rPr>
                      <w:b/>
                      <w:sz w:val="8"/>
                      <w:szCs w:val="8"/>
                    </w:rPr>
                  </w:pPr>
                  <w:r w:rsidRPr="002225CA">
                    <w:rPr>
                      <w:b/>
                      <w:sz w:val="16"/>
                      <w:szCs w:val="16"/>
                    </w:rPr>
                    <w:t>Distance to Primary off-</w:t>
                  </w:r>
                  <w:proofErr w:type="spellStart"/>
                  <w:r w:rsidRPr="002225CA">
                    <w:rPr>
                      <w:b/>
                      <w:sz w:val="16"/>
                      <w:szCs w:val="16"/>
                    </w:rPr>
                    <w:t>stie</w:t>
                  </w:r>
                  <w:proofErr w:type="spellEnd"/>
                  <w:r w:rsidRPr="002225CA">
                    <w:rPr>
                      <w:b/>
                      <w:sz w:val="16"/>
                      <w:szCs w:val="16"/>
                    </w:rPr>
                    <w:t xml:space="preserve"> assembly point:</w:t>
                  </w:r>
                </w:p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sz w:val="16"/>
                      <w:szCs w:val="16"/>
                    </w:rPr>
                  </w:pPr>
                  <w:r w:rsidRPr="00F36014">
                    <w:rPr>
                      <w:sz w:val="16"/>
                      <w:szCs w:val="16"/>
                    </w:rPr>
                    <w:t xml:space="preserve">Approx. time to reach Primary off-site assembly point: </w:t>
                  </w: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  <w:p w:rsidR="00A31F5C" w:rsidRPr="002225CA" w:rsidRDefault="00A31F5C" w:rsidP="002076DE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Default="00A31F5C" w:rsidP="002076D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2225CA">
                    <w:rPr>
                      <w:b/>
                      <w:sz w:val="16"/>
                      <w:szCs w:val="16"/>
                    </w:rPr>
                    <w:t>Distance to Secondary off-site assembly point:</w:t>
                  </w:r>
                </w:p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sz w:val="16"/>
                      <w:szCs w:val="16"/>
                    </w:rPr>
                  </w:pPr>
                  <w:r w:rsidRPr="00F36014">
                    <w:rPr>
                      <w:sz w:val="16"/>
                      <w:szCs w:val="16"/>
                    </w:rPr>
                    <w:t>App</w:t>
                  </w:r>
                  <w:r w:rsidRPr="00F36014">
                    <w:rPr>
                      <w:sz w:val="16"/>
                      <w:szCs w:val="16"/>
                    </w:rPr>
                    <w:cr/>
                    <w:t xml:space="preserve">ox. time to reach Secondary off-site assembly point: </w:t>
                  </w: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  <w:p w:rsidR="00A31F5C" w:rsidRPr="002225CA" w:rsidRDefault="00A31F5C" w:rsidP="002076DE">
                  <w:pPr>
                    <w:spacing w:after="0" w:line="240" w:lineRule="auto"/>
                    <w:ind w:right="284"/>
                    <w:rPr>
                      <w:b/>
                    </w:rPr>
                  </w:pPr>
                </w:p>
              </w:tc>
            </w:tr>
            <w:tr w:rsidR="00A31F5C" w:rsidTr="002076DE">
              <w:tc>
                <w:tcPr>
                  <w:tcW w:w="6204" w:type="dxa"/>
                  <w:gridSpan w:val="2"/>
                </w:tcPr>
                <w:p w:rsidR="00A31F5C" w:rsidRDefault="00A31F5C" w:rsidP="002076DE">
                  <w:pPr>
                    <w:spacing w:after="0"/>
                    <w:rPr>
                      <w:b/>
                    </w:rPr>
                  </w:pPr>
                </w:p>
                <w:p w:rsidR="00A31F5C" w:rsidRPr="002225CA" w:rsidRDefault="00A31F5C" w:rsidP="002076DE">
                  <w:pPr>
                    <w:spacing w:after="0"/>
                    <w:rPr>
                      <w:b/>
                    </w:rPr>
                  </w:pPr>
                  <w:r w:rsidRPr="002225CA">
                    <w:rPr>
                      <w:b/>
                    </w:rPr>
                    <w:t>Legend</w:t>
                  </w: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/>
                    <w:rPr>
                      <w:b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Primary off-site assembly point</w:t>
                  </w: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600" cy="237303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647" cy="24046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Route to Primary off-site assembly point</w:t>
                  </w:r>
                  <w:r w:rsidRPr="00F36014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A31F5C" w:rsidRPr="00F36014" w:rsidRDefault="00A31F5C" w:rsidP="002076DE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/>
                  </w:pPr>
                  <w:r w:rsidRPr="004B731B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55905" cy="54610"/>
                        <wp:effectExtent l="0" t="0" r="0" b="254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Secondary off-site assembly point</w:t>
                  </w:r>
                </w:p>
                <w:p w:rsidR="00A31F5C" w:rsidRPr="00F36014" w:rsidRDefault="00A31F5C" w:rsidP="002076DE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/>
                  </w:pPr>
                  <w:r>
                    <w:rPr>
                      <w:rFonts w:ascii="Arial" w:hAnsi="Arial" w:cs="Arial"/>
                      <w:i/>
                      <w:noProof/>
                      <w:color w:val="808080" w:themeColor="background1" w:themeShade="80"/>
                      <w:shd w:val="clear" w:color="auto" w:fill="FFFFFF" w:themeFill="background1"/>
                    </w:rPr>
                    <w:drawing>
                      <wp:inline distT="0" distB="0" distL="0" distR="0">
                        <wp:extent cx="251460" cy="226314"/>
                        <wp:effectExtent l="0" t="0" r="0" b="254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263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Route to Secondary off-site assembly point</w:t>
                  </w:r>
                </w:p>
                <w:p w:rsidR="00A31F5C" w:rsidRPr="00F36014" w:rsidRDefault="00A31F5C" w:rsidP="002076DE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A31F5C" w:rsidRDefault="00A31F5C" w:rsidP="002076DE">
                  <w:pPr>
                    <w:spacing w:after="0"/>
                  </w:pPr>
                  <w:r w:rsidRPr="004B731B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47650" cy="571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F5C" w:rsidTr="002076DE">
              <w:tc>
                <w:tcPr>
                  <w:tcW w:w="4928" w:type="dxa"/>
                </w:tcPr>
                <w:p w:rsidR="00A31F5C" w:rsidRPr="00F36014" w:rsidRDefault="00A31F5C" w:rsidP="002076D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F36014">
                    <w:rPr>
                      <w:b/>
                      <w:sz w:val="16"/>
                      <w:szCs w:val="16"/>
                    </w:rPr>
                    <w:t>Emergency services access point</w:t>
                  </w:r>
                </w:p>
                <w:p w:rsidR="00A31F5C" w:rsidRPr="00F36014" w:rsidRDefault="00A31F5C" w:rsidP="002076DE">
                  <w:pPr>
                    <w:spacing w:after="0" w:line="240" w:lineRule="auto"/>
                    <w:ind w:right="28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A31F5C" w:rsidRPr="002225CA" w:rsidRDefault="00BC677E" w:rsidP="002076DE">
                  <w:pPr>
                    <w:spacing w:after="0"/>
                    <w:rPr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color w:val="FF0000"/>
                      <w:sz w:val="16"/>
                      <w:szCs w:val="16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" o:spid="_x0000_s1027" type="#_x0000_t13" style="position:absolute;margin-left:3.95pt;margin-top:6.05pt;width:23.7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" adj="19129" fillcolor="red" strokecolor="#243f60 [1604]" strokeweight="2pt"/>
                    </w:pict>
                  </w:r>
                </w:p>
              </w:tc>
            </w:tr>
          </w:tbl>
          <w:p w:rsidR="00A31F5C" w:rsidRPr="004B731B" w:rsidRDefault="00A31F5C" w:rsidP="002076DE">
            <w:pPr>
              <w:shd w:val="clear" w:color="auto" w:fill="FFFFFF" w:themeFill="background1"/>
              <w:rPr>
                <w:rFonts w:ascii="Arial" w:hAnsi="Arial" w:cs="Arial"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Default="00A31F5C" w:rsidP="002076DE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808080" w:themeColor="background1" w:themeShade="80"/>
                <w:shd w:val="clear" w:color="auto" w:fill="FFFFFF" w:themeFill="background1"/>
              </w:rPr>
            </w:pPr>
          </w:p>
          <w:p w:rsidR="00A31F5C" w:rsidRPr="00134C7C" w:rsidRDefault="00A31F5C" w:rsidP="002076DE">
            <w:pPr>
              <w:shd w:val="clear" w:color="auto" w:fill="FFFFFF" w:themeFill="background1"/>
              <w:spacing w:after="0"/>
              <w:rPr>
                <w:rFonts w:ascii="Arial" w:hAnsi="Arial" w:cs="Arial"/>
                <w:i/>
              </w:rPr>
            </w:pPr>
          </w:p>
        </w:tc>
      </w:tr>
      <w:tr w:rsidR="00A31F5C" w:rsidRPr="00C81103" w:rsidTr="002076DE">
        <w:trPr>
          <w:trHeight w:val="74"/>
        </w:trPr>
        <w:tc>
          <w:tcPr>
            <w:tcW w:w="8625" w:type="dxa"/>
          </w:tcPr>
          <w:p w:rsidR="00A31F5C" w:rsidRPr="00C81103" w:rsidRDefault="00BC677E" w:rsidP="00207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4" o:spid="_x0000_s1026" type="#_x0000_t202" style="position:absolute;margin-left:10.75pt;margin-top:9.1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Ke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" filled="f" stroked="f">
                  <v:textbox style="mso-next-textbox:#Text Box 874">
                    <w:txbxContent>
                      <w:p w:rsidR="00A31F5C" w:rsidRPr="002A0173" w:rsidRDefault="00A31F5C" w:rsidP="00A31F5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24CE4" w:rsidRDefault="00524CE4"/>
    <w:sectPr w:rsidR="00524CE4" w:rsidSect="00524C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7E" w:rsidRDefault="00BC677E" w:rsidP="00BC677E">
      <w:pPr>
        <w:spacing w:after="0" w:line="240" w:lineRule="auto"/>
      </w:pPr>
      <w:r>
        <w:separator/>
      </w:r>
    </w:p>
  </w:endnote>
  <w:endnote w:type="continuationSeparator" w:id="1">
    <w:p w:rsidR="00BC677E" w:rsidRDefault="00BC677E" w:rsidP="00B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8" w:rsidRDefault="00211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A1" w:rsidRPr="00211A58" w:rsidRDefault="00BC677E" w:rsidP="00211A58">
    <w:pPr>
      <w:ind w:right="260"/>
      <w:rPr>
        <w:color w:val="0F243E" w:themeColor="text2" w:themeShade="80"/>
        <w:sz w:val="26"/>
        <w:szCs w:val="26"/>
      </w:rPr>
    </w:pPr>
    <w:r w:rsidRPr="00BC677E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0;margin-top:0;width:43.45pt;height:24.65pt;z-index:251660288;visibility:visible;mso-wrap-style:square;mso-width-percent:0;mso-height-percent:50;mso-left-percent:910;mso-top-percent:930;mso-wrap-distance-left:9pt;mso-wrap-distance-top:0;mso-wrap-distance-right:9pt;mso-wrap-distance-bottom:0;mso-position-horizontal-relative:page;mso-position-vertical-relative:page;mso-width-percent: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" fillcolor="white [3201]" stroked="f" strokeweight=".5pt">
          <v:textbox style="mso-next-textbox:#Text Box 49;mso-fit-shape-to-text:t" inset="0,,0">
            <w:txbxContent>
              <w:p w:rsidR="00E42FA1" w:rsidRDefault="00BC677E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A31F5C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11A58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11A58"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A1" w:rsidRDefault="00A31F5C" w:rsidP="00B336A2">
    <w:pPr>
      <w:pStyle w:val="Footer"/>
      <w:jc w:val="right"/>
    </w:pPr>
    <w:r>
      <w:t>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7E" w:rsidRDefault="00BC677E" w:rsidP="00BC677E">
      <w:pPr>
        <w:spacing w:after="0" w:line="240" w:lineRule="auto"/>
      </w:pPr>
      <w:r>
        <w:separator/>
      </w:r>
    </w:p>
  </w:footnote>
  <w:footnote w:type="continuationSeparator" w:id="1">
    <w:p w:rsidR="00BC677E" w:rsidRDefault="00BC677E" w:rsidP="00BC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8" w:rsidRDefault="00211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8" w:rsidRDefault="00211A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A1" w:rsidRPr="00EB1E42" w:rsidRDefault="00211A58" w:rsidP="00EB1E42">
    <w:pPr>
      <w:pStyle w:val="Header"/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1F5C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58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1F5C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677E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4E5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C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F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F5C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rsid w:val="00A31F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1F5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rsid w:val="00A31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C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A31F5C"/>
    <w:pPr>
      <w:spacing w:after="90" w:line="220" w:lineRule="atLeast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C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education.vic.gov.au/about/programs/health/Pages/emptutorial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2017-12-15T02:08:00Z</dcterms:created>
  <dcterms:modified xsi:type="dcterms:W3CDTF">2019-11-07T03:54:00Z</dcterms:modified>
</cp:coreProperties>
</file>