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55CF" w14:textId="77777777" w:rsidR="00251CCE" w:rsidRPr="00252B28" w:rsidRDefault="009C0E38" w:rsidP="00252B28">
      <w:pPr>
        <w:pStyle w:val="Heading1"/>
      </w:pPr>
      <w:r w:rsidRPr="00252B28">
        <w:t>Sick and Carer’s Leave</w:t>
      </w:r>
    </w:p>
    <w:p w14:paraId="1D0EE68E" w14:textId="77777777" w:rsidR="009E53C7" w:rsidRPr="00252B28" w:rsidRDefault="009C0E38" w:rsidP="00252B28">
      <w:pPr>
        <w:pStyle w:val="CalloutBox-Paragraph"/>
      </w:pPr>
      <w:r w:rsidRPr="00252B28">
        <w:t>Workers can take time off from work if they are sick or lo</w:t>
      </w:r>
      <w:r w:rsidR="00600C43" w:rsidRPr="00252B28">
        <w:t>oking after someone who is sick.</w:t>
      </w:r>
    </w:p>
    <w:p w14:paraId="5FAF8EE8" w14:textId="77777777" w:rsidR="00600C43" w:rsidRPr="00252B28" w:rsidRDefault="00600C43" w:rsidP="00252B28">
      <w:pPr>
        <w:pStyle w:val="Heading2"/>
      </w:pPr>
      <w:r w:rsidRPr="00252B28">
        <w:t>Who can take this leave?</w:t>
      </w:r>
    </w:p>
    <w:p w14:paraId="381623E0" w14:textId="1D2029C8" w:rsidR="00345584" w:rsidRDefault="00600C43" w:rsidP="0016778E">
      <w:pPr>
        <w:pStyle w:val="Bullet"/>
      </w:pPr>
      <w:r w:rsidRPr="00252B28">
        <w:t>All workers, except casuals, g</w:t>
      </w:r>
      <w:r w:rsidR="00345584">
        <w:t>et paid sick and carer’s leave.</w:t>
      </w:r>
    </w:p>
    <w:p w14:paraId="6D0A3265" w14:textId="555E36DF" w:rsidR="00600C43" w:rsidRDefault="00600C43" w:rsidP="0016778E">
      <w:pPr>
        <w:pStyle w:val="Bullet"/>
      </w:pPr>
      <w:r w:rsidRPr="00252B28">
        <w:t xml:space="preserve">Casual workers get carer’s leave, but are not paid. </w:t>
      </w:r>
    </w:p>
    <w:p w14:paraId="3B3C3DE9" w14:textId="77777777" w:rsidR="00600C43" w:rsidRPr="00252B28" w:rsidRDefault="00600C43" w:rsidP="00252B28">
      <w:pPr>
        <w:pStyle w:val="Heading2"/>
      </w:pPr>
      <w:r w:rsidRPr="00252B28">
        <w:t>When can workers take this leave?</w:t>
      </w:r>
    </w:p>
    <w:p w14:paraId="111FD8CE" w14:textId="36FEB130" w:rsidR="00600C43" w:rsidRPr="00252B28" w:rsidRDefault="00600C43" w:rsidP="00252B28">
      <w:pPr>
        <w:pStyle w:val="Bullet"/>
      </w:pPr>
      <w:r w:rsidRPr="00252B28">
        <w:t>Workers can take sick leave when they’re sick or injured and can’t come to work</w:t>
      </w:r>
      <w:r w:rsidR="00345584">
        <w:t>.</w:t>
      </w:r>
    </w:p>
    <w:p w14:paraId="0DCD236B" w14:textId="77777777" w:rsidR="00600C43" w:rsidRPr="00252B28" w:rsidRDefault="00600C43" w:rsidP="00252B28">
      <w:pPr>
        <w:pStyle w:val="Bullet"/>
      </w:pPr>
      <w:r w:rsidRPr="00252B28">
        <w:t>Workers can take carer’s leave to care for or support a person that lives with them, or someone in their immediate family (which includes parents, children, siblings, partners, grandparents, or a partner’s family). The person being looked after must be sick or injured or need help with an unexpected emergency.</w:t>
      </w:r>
    </w:p>
    <w:p w14:paraId="11D4656A" w14:textId="77777777" w:rsidR="00600C43" w:rsidRDefault="00600C43" w:rsidP="00252B28">
      <w:pPr>
        <w:pStyle w:val="Bullet"/>
      </w:pPr>
      <w:r w:rsidRPr="00252B28">
        <w:t xml:space="preserve">Workers must tell their boss they are taking leave as soon as they can. </w:t>
      </w:r>
    </w:p>
    <w:p w14:paraId="1C434710" w14:textId="77777777" w:rsidR="00600C43" w:rsidRPr="00252B28" w:rsidRDefault="00600C43" w:rsidP="00252B28">
      <w:pPr>
        <w:pStyle w:val="Heading2"/>
      </w:pPr>
      <w:r w:rsidRPr="00252B28">
        <w:t xml:space="preserve">Does the worker need to give their boss any evidence? </w:t>
      </w:r>
    </w:p>
    <w:p w14:paraId="5C09E317" w14:textId="4AF22FBD" w:rsidR="00600C43" w:rsidRDefault="00600C43" w:rsidP="00252B28">
      <w:pPr>
        <w:pStyle w:val="Bullet"/>
      </w:pPr>
      <w:r w:rsidRPr="00252B28">
        <w:t xml:space="preserve">A worker can be asked to provide evidence. This is usually a doctor’s certificate or a statutory declaration (when you write down a statement and you declare it to be true and sign it in front of </w:t>
      </w:r>
      <w:r w:rsidR="00345584">
        <w:t xml:space="preserve">a </w:t>
      </w:r>
      <w:r w:rsidRPr="00252B28">
        <w:t>witness).</w:t>
      </w:r>
    </w:p>
    <w:p w14:paraId="0259BEA1" w14:textId="77777777" w:rsidR="00600C43" w:rsidRPr="00252B28" w:rsidRDefault="00600C43" w:rsidP="00252B28">
      <w:pPr>
        <w:pStyle w:val="Heading2"/>
      </w:pPr>
      <w:r w:rsidRPr="00252B28">
        <w:t>How much of this leave can workers take?</w:t>
      </w:r>
    </w:p>
    <w:p w14:paraId="47F2CEBA" w14:textId="26243484" w:rsidR="00600C43" w:rsidRPr="00CA6615" w:rsidRDefault="00600C43" w:rsidP="00252B28">
      <w:pPr>
        <w:pStyle w:val="Bullet"/>
      </w:pPr>
      <w:r w:rsidRPr="00252B28">
        <w:t>Full-time</w:t>
      </w:r>
      <w:r w:rsidR="00015838">
        <w:t xml:space="preserve"> </w:t>
      </w:r>
      <w:r w:rsidR="00BB36EA">
        <w:t xml:space="preserve">and part-time </w:t>
      </w:r>
      <w:r w:rsidRPr="00252B28">
        <w:t>workers get</w:t>
      </w:r>
      <w:r w:rsidR="00CD2161">
        <w:t xml:space="preserve"> 10</w:t>
      </w:r>
      <w:r w:rsidRPr="00252B28">
        <w:t xml:space="preserve"> days of paid sick and carer’s leave each year</w:t>
      </w:r>
      <w:r w:rsidR="00CA2609">
        <w:t xml:space="preserve"> (</w:t>
      </w:r>
      <w:r w:rsidR="00CA2609" w:rsidRPr="00244A63">
        <w:rPr>
          <w:szCs w:val="24"/>
        </w:rPr>
        <w:t>pro</w:t>
      </w:r>
      <w:r w:rsidR="00CA2609">
        <w:t xml:space="preserve"> </w:t>
      </w:r>
      <w:r w:rsidR="00CA2609" w:rsidRPr="00244A63">
        <w:rPr>
          <w:szCs w:val="24"/>
        </w:rPr>
        <w:t>rata for part</w:t>
      </w:r>
      <w:r w:rsidR="00CA2609">
        <w:t>-</w:t>
      </w:r>
      <w:r w:rsidR="00CA2609" w:rsidRPr="00244A63">
        <w:rPr>
          <w:szCs w:val="24"/>
        </w:rPr>
        <w:t>time employees</w:t>
      </w:r>
      <w:r w:rsidR="00CA2609">
        <w:rPr>
          <w:szCs w:val="24"/>
        </w:rPr>
        <w:t>)</w:t>
      </w:r>
      <w:r w:rsidR="00BB36EA">
        <w:rPr>
          <w:szCs w:val="24"/>
        </w:rPr>
        <w:t>, based on their ordinary hours of work</w:t>
      </w:r>
      <w:r w:rsidRPr="00252B28">
        <w:t>.</w:t>
      </w:r>
      <w:r w:rsidR="00BB36EA">
        <w:t xml:space="preserve"> The entitlement to 10 days of sick and carer’s leave can be calculated as 1/26</w:t>
      </w:r>
      <w:r w:rsidR="00BB36EA" w:rsidRPr="00E35C4E">
        <w:rPr>
          <w:vertAlign w:val="superscript"/>
        </w:rPr>
        <w:t>th</w:t>
      </w:r>
      <w:r w:rsidR="00BB36EA">
        <w:t xml:space="preserve"> of an em</w:t>
      </w:r>
      <w:r w:rsidR="00E35C4E">
        <w:t>p</w:t>
      </w:r>
      <w:r w:rsidR="00BB36EA">
        <w:t>loyee’s ordinary hours of work in a year.</w:t>
      </w:r>
      <w:r w:rsidRPr="00252B28">
        <w:t xml:space="preserve"> If </w:t>
      </w:r>
      <w:r w:rsidRPr="00CA6615">
        <w:t>workers don’t use this leave in that year, it is kept for future use.</w:t>
      </w:r>
    </w:p>
    <w:p w14:paraId="48F17DCE" w14:textId="55FF67D2" w:rsidR="00600C43" w:rsidRPr="00252B28" w:rsidRDefault="00600C43" w:rsidP="00252B28">
      <w:pPr>
        <w:pStyle w:val="Bullet"/>
      </w:pPr>
      <w:r w:rsidRPr="00252B28">
        <w:t xml:space="preserve">Casual workers get </w:t>
      </w:r>
      <w:r w:rsidR="00CD2161">
        <w:t xml:space="preserve">2 </w:t>
      </w:r>
      <w:r w:rsidRPr="00252B28">
        <w:t>days of carer’s leave without pay each time they need it.</w:t>
      </w:r>
    </w:p>
    <w:p w14:paraId="73741635" w14:textId="423EC226" w:rsidR="00600C43" w:rsidRDefault="00600C43" w:rsidP="00252B28">
      <w:pPr>
        <w:pStyle w:val="Bullet"/>
      </w:pPr>
      <w:r w:rsidRPr="00252B28">
        <w:t xml:space="preserve">Full-time and part-time workers can also take </w:t>
      </w:r>
      <w:r w:rsidR="00CD2161">
        <w:t>2</w:t>
      </w:r>
      <w:r w:rsidRPr="00252B28">
        <w:t xml:space="preserve"> days of carer’s leave without pay if they don’t have any paid sick or carer’s leave left. </w:t>
      </w:r>
    </w:p>
    <w:p w14:paraId="4784EF4E" w14:textId="77777777" w:rsidR="00600C43" w:rsidRPr="00252B28" w:rsidRDefault="00600C43" w:rsidP="00252B28">
      <w:pPr>
        <w:pStyle w:val="Heading2"/>
      </w:pPr>
      <w:r w:rsidRPr="00252B28">
        <w:lastRenderedPageBreak/>
        <w:t>How much pay do workers get?</w:t>
      </w:r>
    </w:p>
    <w:p w14:paraId="51DD6D82" w14:textId="77777777" w:rsidR="00600C43" w:rsidRDefault="00600C43" w:rsidP="00252B28">
      <w:pPr>
        <w:pStyle w:val="Bullet"/>
      </w:pPr>
      <w:r w:rsidRPr="00252B28">
        <w:t>Workers get their base (normal) rate of pay. This doesn’t include overtime, penalties, allowances or bonuses.</w:t>
      </w:r>
    </w:p>
    <w:p w14:paraId="36BEFCD4" w14:textId="77777777" w:rsidR="00600C43" w:rsidRPr="00252B28" w:rsidRDefault="00600C43" w:rsidP="00252B28">
      <w:pPr>
        <w:pStyle w:val="Heading2"/>
      </w:pPr>
      <w:r w:rsidRPr="00252B28">
        <w:t>What if a worker is finishing a job?</w:t>
      </w:r>
    </w:p>
    <w:p w14:paraId="57F61A5F" w14:textId="77777777" w:rsidR="00600C43" w:rsidRDefault="00600C43" w:rsidP="00252B28">
      <w:pPr>
        <w:pStyle w:val="Bullet"/>
      </w:pPr>
      <w:r w:rsidRPr="00252B28">
        <w:t>Most workers don’t get paid for any remaining sick and carer’s leave when their job ends.</w:t>
      </w:r>
    </w:p>
    <w:p w14:paraId="175E81AF" w14:textId="77777777" w:rsidR="00600C43" w:rsidRPr="00252B28" w:rsidRDefault="00600C43" w:rsidP="00252B28">
      <w:pPr>
        <w:pStyle w:val="Heading2"/>
      </w:pPr>
      <w:r w:rsidRPr="00252B28">
        <w:t>Find out more</w:t>
      </w:r>
    </w:p>
    <w:p w14:paraId="1FA1E1E1" w14:textId="77777777" w:rsidR="00600C43" w:rsidRPr="00252B28" w:rsidRDefault="00600C43" w:rsidP="00252B28">
      <w:pPr>
        <w:rPr>
          <w:color w:val="1F5D9F"/>
        </w:rPr>
      </w:pPr>
      <w:r w:rsidRPr="00252B28">
        <w:t xml:space="preserve">For more information about sick and carer’s leave, go to </w:t>
      </w:r>
      <w:hyperlink r:id="rId7" w:tooltip="Fair Work Ombudsman leave" w:history="1">
        <w:r w:rsidRPr="00252B28">
          <w:rPr>
            <w:rStyle w:val="Hyperlink"/>
            <w:rFonts w:cs="Arial"/>
          </w:rPr>
          <w:t>www.fairwork.gov.au/leave</w:t>
        </w:r>
      </w:hyperlink>
      <w:r w:rsidRPr="00252B28">
        <w:rPr>
          <w:color w:val="1F5D9F"/>
        </w:rPr>
        <w:t xml:space="preserve">.  </w:t>
      </w:r>
    </w:p>
    <w:p w14:paraId="20633D45" w14:textId="59F0921F" w:rsidR="00600C43" w:rsidRPr="00252B28" w:rsidRDefault="00600C43" w:rsidP="00252B28">
      <w:r w:rsidRPr="00252B28">
        <w:t>You can also talk with someone from a community organisati</w:t>
      </w:r>
      <w:r w:rsidR="00345584">
        <w:t>on or community legal centre, a</w:t>
      </w:r>
      <w:r w:rsidRPr="00252B28">
        <w:t xml:space="preserve"> HR officer, an Indigenous liaison or employment officer, an employer association (if you’re a boss) or a union representative (if you’re a worker).</w:t>
      </w:r>
    </w:p>
    <w:p w14:paraId="1A325350" w14:textId="77777777" w:rsidR="00600C43" w:rsidRPr="00252B28" w:rsidRDefault="00600C43" w:rsidP="00252B28"/>
    <w:sectPr w:rsidR="00600C43" w:rsidRPr="00252B28" w:rsidSect="00BC4E29">
      <w:footerReference w:type="default" r:id="rId8"/>
      <w:headerReference w:type="first" r:id="rId9"/>
      <w:footerReference w:type="first" r:id="rId10"/>
      <w:pgSz w:w="11906" w:h="16838" w:code="9"/>
      <w:pgMar w:top="2374" w:right="1418" w:bottom="720" w:left="1418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9105" w14:textId="77777777" w:rsidR="00BC4E29" w:rsidRDefault="00BC4E29" w:rsidP="00252B28">
      <w:r>
        <w:separator/>
      </w:r>
    </w:p>
  </w:endnote>
  <w:endnote w:type="continuationSeparator" w:id="0">
    <w:p w14:paraId="587273F2" w14:textId="77777777" w:rsidR="00BC4E29" w:rsidRDefault="00BC4E29" w:rsidP="0025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5188" w14:textId="4FFA2F69" w:rsidR="00C142D5" w:rsidRDefault="00251CCE" w:rsidP="00252B28">
    <w:pPr>
      <w:pStyle w:val="Footer"/>
    </w:pPr>
    <w:r w:rsidRPr="0009461A">
      <w:t xml:space="preserve">Page </w:t>
    </w:r>
    <w:r w:rsidRPr="0009461A">
      <w:fldChar w:fldCharType="begin"/>
    </w:r>
    <w:r w:rsidRPr="0009461A">
      <w:instrText xml:space="preserve"> PAGE </w:instrText>
    </w:r>
    <w:r w:rsidRPr="0009461A">
      <w:fldChar w:fldCharType="separate"/>
    </w:r>
    <w:r w:rsidR="00345584">
      <w:rPr>
        <w:noProof/>
      </w:rPr>
      <w:t>2</w:t>
    </w:r>
    <w:r w:rsidRPr="0009461A">
      <w:fldChar w:fldCharType="end"/>
    </w:r>
    <w:r w:rsidRPr="0009461A">
      <w:t xml:space="preserve"> of </w:t>
    </w:r>
    <w:fldSimple w:instr=" NUMPAGES  ">
      <w:r w:rsidR="00345584">
        <w:rPr>
          <w:noProof/>
        </w:rPr>
        <w:t>2</w:t>
      </w:r>
    </w:fldSimple>
  </w:p>
  <w:p w14:paraId="33FC7931" w14:textId="77777777" w:rsidR="00DE2B9B" w:rsidRDefault="00DE2B9B" w:rsidP="00252B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23D9" w14:textId="1F6B5BBB" w:rsidR="00C142D5" w:rsidRDefault="00251CCE" w:rsidP="00252B28">
    <w:pPr>
      <w:pStyle w:val="Footer"/>
    </w:pPr>
    <w:r>
      <w:tab/>
    </w:r>
    <w:r w:rsidRPr="0009461A">
      <w:t xml:space="preserve">Page </w:t>
    </w:r>
    <w:r w:rsidRPr="0009461A">
      <w:fldChar w:fldCharType="begin"/>
    </w:r>
    <w:r w:rsidRPr="0009461A">
      <w:instrText xml:space="preserve"> PAGE </w:instrText>
    </w:r>
    <w:r w:rsidRPr="0009461A">
      <w:fldChar w:fldCharType="separate"/>
    </w:r>
    <w:r w:rsidR="00345584">
      <w:rPr>
        <w:noProof/>
      </w:rPr>
      <w:t>1</w:t>
    </w:r>
    <w:r w:rsidRPr="0009461A">
      <w:fldChar w:fldCharType="end"/>
    </w:r>
    <w:r w:rsidRPr="0009461A">
      <w:t xml:space="preserve"> of </w:t>
    </w:r>
    <w:fldSimple w:instr=" NUMPAGES  ">
      <w:r w:rsidR="00345584">
        <w:rPr>
          <w:noProof/>
        </w:rPr>
        <w:t>2</w:t>
      </w:r>
    </w:fldSimple>
  </w:p>
  <w:p w14:paraId="2798FF7E" w14:textId="77777777" w:rsidR="00DE2B9B" w:rsidRDefault="00DE2B9B" w:rsidP="00252B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F656" w14:textId="77777777" w:rsidR="00BC4E29" w:rsidRDefault="00BC4E29" w:rsidP="00252B28">
      <w:r>
        <w:separator/>
      </w:r>
    </w:p>
  </w:footnote>
  <w:footnote w:type="continuationSeparator" w:id="0">
    <w:p w14:paraId="0762AB4B" w14:textId="77777777" w:rsidR="00BC4E29" w:rsidRDefault="00BC4E29" w:rsidP="0025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6600" w14:textId="77777777" w:rsidR="00D25312" w:rsidRDefault="00D25312" w:rsidP="00D25312">
    <w:pPr>
      <w:pStyle w:val="Header"/>
    </w:pPr>
    <w:r w:rsidRPr="002E66DE">
      <w:rPr>
        <w:noProof/>
        <w:lang w:eastAsia="en-AU"/>
      </w:rPr>
      <w:drawing>
        <wp:inline distT="0" distB="0" distL="0" distR="0" wp14:anchorId="51A04BF1" wp14:editId="0D8E2EE6">
          <wp:extent cx="4114800" cy="1094740"/>
          <wp:effectExtent l="0" t="0" r="0" b="0"/>
          <wp:docPr id="13" name="Picture 9" descr="Title: Fair Work Ombudsman logo - Description: Fair Work Ombuds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itle: Fair Work Ombudsman logo - Description: Fair Work Ombudsm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6DE">
      <w:rPr>
        <w:noProof/>
        <w:lang w:eastAsia="en-AU"/>
      </w:rPr>
      <mc:AlternateContent>
        <mc:Choice Requires="wps">
          <w:drawing>
            <wp:inline distT="0" distB="0" distL="0" distR="0" wp14:anchorId="22A9F8EF" wp14:editId="6DBFB852">
              <wp:extent cx="6379210" cy="0"/>
              <wp:effectExtent l="0" t="38100" r="2540" b="38100"/>
              <wp:docPr id="1" name="Straight Connector 1" descr="Straight connector line" title="Straight connec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79210" cy="0"/>
                      </a:xfrm>
                      <a:prstGeom prst="line">
                        <a:avLst/>
                      </a:prstGeom>
                      <a:noFill/>
                      <a:ln w="76200" algn="ctr">
                        <a:solidFill>
                          <a:srgbClr val="0395A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3944DA7" id="Straight Connector 1" o:spid="_x0000_s1026" alt="Title: Straight connector line - Description: Straight connecto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" strokecolor="#0395a7" strokeweight="6pt">
              <o:lock v:ext="edit" shapetype="f"/>
              <w10:anchorlock/>
            </v:line>
          </w:pict>
        </mc:Fallback>
      </mc:AlternateContent>
    </w:r>
  </w:p>
  <w:p w14:paraId="4645FD91" w14:textId="77777777" w:rsidR="00DE2B9B" w:rsidRPr="00D25312" w:rsidRDefault="00DE2B9B" w:rsidP="00D25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53D"/>
    <w:multiLevelType w:val="hybridMultilevel"/>
    <w:tmpl w:val="0E88BB1E"/>
    <w:lvl w:ilvl="0" w:tplc="6406A1C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9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6987"/>
    <w:multiLevelType w:val="hybridMultilevel"/>
    <w:tmpl w:val="7A327104"/>
    <w:lvl w:ilvl="0" w:tplc="496E86B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F00"/>
    <w:multiLevelType w:val="hybridMultilevel"/>
    <w:tmpl w:val="58088816"/>
    <w:lvl w:ilvl="0" w:tplc="6406A1CE">
      <w:start w:val="1"/>
      <w:numFmt w:val="bullet"/>
      <w:lvlText w:val=""/>
      <w:lvlJc w:val="left"/>
      <w:pPr>
        <w:ind w:left="787" w:hanging="360"/>
      </w:pPr>
      <w:rPr>
        <w:rFonts w:ascii="Wingdings" w:hAnsi="Wingdings" w:hint="default"/>
        <w:color w:val="0194A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9C0780E"/>
    <w:multiLevelType w:val="hybridMultilevel"/>
    <w:tmpl w:val="E5742510"/>
    <w:lvl w:ilvl="0" w:tplc="6406A1C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9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50743"/>
    <w:multiLevelType w:val="hybridMultilevel"/>
    <w:tmpl w:val="62AE31FE"/>
    <w:lvl w:ilvl="0" w:tplc="57281004">
      <w:start w:val="1"/>
      <w:numFmt w:val="bullet"/>
      <w:pStyle w:val="Bullet"/>
      <w:lvlText w:val=""/>
      <w:lvlJc w:val="left"/>
      <w:pPr>
        <w:ind w:left="360" w:hanging="360"/>
      </w:pPr>
      <w:rPr>
        <w:rFonts w:ascii="Wingdings" w:hAnsi="Wingdings" w:hint="default"/>
        <w:color w:val="0194A6"/>
      </w:rPr>
    </w:lvl>
    <w:lvl w:ilvl="1" w:tplc="0C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3BD0"/>
    <w:multiLevelType w:val="hybridMultilevel"/>
    <w:tmpl w:val="9AA2D832"/>
    <w:lvl w:ilvl="0" w:tplc="6406A1C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9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77B10"/>
    <w:multiLevelType w:val="hybridMultilevel"/>
    <w:tmpl w:val="C38E9C5E"/>
    <w:lvl w:ilvl="0" w:tplc="6406A1C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9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29"/>
    <w:rsid w:val="00014898"/>
    <w:rsid w:val="00015838"/>
    <w:rsid w:val="0006071B"/>
    <w:rsid w:val="000A2C21"/>
    <w:rsid w:val="000F1C91"/>
    <w:rsid w:val="00120B5E"/>
    <w:rsid w:val="00151EDA"/>
    <w:rsid w:val="001529E2"/>
    <w:rsid w:val="0016778E"/>
    <w:rsid w:val="001707AD"/>
    <w:rsid w:val="001D178D"/>
    <w:rsid w:val="001D345C"/>
    <w:rsid w:val="0021711D"/>
    <w:rsid w:val="00227C3F"/>
    <w:rsid w:val="002322EA"/>
    <w:rsid w:val="00251CCE"/>
    <w:rsid w:val="00252B28"/>
    <w:rsid w:val="00255650"/>
    <w:rsid w:val="00270E19"/>
    <w:rsid w:val="0027632B"/>
    <w:rsid w:val="002A2C39"/>
    <w:rsid w:val="002B275E"/>
    <w:rsid w:val="002B6D54"/>
    <w:rsid w:val="002C312B"/>
    <w:rsid w:val="002E6DD4"/>
    <w:rsid w:val="00322A9A"/>
    <w:rsid w:val="00345584"/>
    <w:rsid w:val="00357B7E"/>
    <w:rsid w:val="003B0182"/>
    <w:rsid w:val="003B3138"/>
    <w:rsid w:val="003C5B9D"/>
    <w:rsid w:val="003F2A92"/>
    <w:rsid w:val="004073FA"/>
    <w:rsid w:val="004E1345"/>
    <w:rsid w:val="004E7D89"/>
    <w:rsid w:val="0055572E"/>
    <w:rsid w:val="005771AB"/>
    <w:rsid w:val="0058340B"/>
    <w:rsid w:val="00585066"/>
    <w:rsid w:val="0059029C"/>
    <w:rsid w:val="005A1D83"/>
    <w:rsid w:val="005A5E35"/>
    <w:rsid w:val="005D66E1"/>
    <w:rsid w:val="00600C43"/>
    <w:rsid w:val="006066B7"/>
    <w:rsid w:val="00606E6C"/>
    <w:rsid w:val="00610EBE"/>
    <w:rsid w:val="00625624"/>
    <w:rsid w:val="006808D2"/>
    <w:rsid w:val="00684A19"/>
    <w:rsid w:val="0069145B"/>
    <w:rsid w:val="006C042E"/>
    <w:rsid w:val="006E4193"/>
    <w:rsid w:val="006E5E31"/>
    <w:rsid w:val="006F7958"/>
    <w:rsid w:val="00760772"/>
    <w:rsid w:val="007B121C"/>
    <w:rsid w:val="007C674A"/>
    <w:rsid w:val="00835E81"/>
    <w:rsid w:val="008A1EDD"/>
    <w:rsid w:val="008A35C0"/>
    <w:rsid w:val="008F5C3D"/>
    <w:rsid w:val="008F5DEF"/>
    <w:rsid w:val="008F718A"/>
    <w:rsid w:val="00947E99"/>
    <w:rsid w:val="00966C10"/>
    <w:rsid w:val="00972FC4"/>
    <w:rsid w:val="00982EA7"/>
    <w:rsid w:val="009C0E38"/>
    <w:rsid w:val="009C6432"/>
    <w:rsid w:val="009E53C7"/>
    <w:rsid w:val="00A15604"/>
    <w:rsid w:val="00A1749B"/>
    <w:rsid w:val="00A17CE0"/>
    <w:rsid w:val="00A21FDB"/>
    <w:rsid w:val="00B30E2F"/>
    <w:rsid w:val="00B46CB3"/>
    <w:rsid w:val="00B5455F"/>
    <w:rsid w:val="00B7653F"/>
    <w:rsid w:val="00BA5AFF"/>
    <w:rsid w:val="00BB36EA"/>
    <w:rsid w:val="00BC4E29"/>
    <w:rsid w:val="00C36455"/>
    <w:rsid w:val="00C46D1F"/>
    <w:rsid w:val="00C52D0C"/>
    <w:rsid w:val="00CA2609"/>
    <w:rsid w:val="00CA395E"/>
    <w:rsid w:val="00CA6615"/>
    <w:rsid w:val="00CD2161"/>
    <w:rsid w:val="00CE5911"/>
    <w:rsid w:val="00D25312"/>
    <w:rsid w:val="00D40B26"/>
    <w:rsid w:val="00D509A7"/>
    <w:rsid w:val="00D66FB0"/>
    <w:rsid w:val="00DB47CE"/>
    <w:rsid w:val="00DE2B9B"/>
    <w:rsid w:val="00E10E5C"/>
    <w:rsid w:val="00E276E3"/>
    <w:rsid w:val="00E35C4E"/>
    <w:rsid w:val="00E53D61"/>
    <w:rsid w:val="00E60C5C"/>
    <w:rsid w:val="00F02B05"/>
    <w:rsid w:val="00F43DA3"/>
    <w:rsid w:val="00F85485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CD171"/>
  <w15:docId w15:val="{1A9EF2FE-5C58-448B-AA0F-656F452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252B28"/>
    <w:pPr>
      <w:spacing w:line="360" w:lineRule="auto"/>
    </w:pPr>
    <w:rPr>
      <w:rFonts w:ascii="Helvetica" w:hAnsi="Helvetica" w:cs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2B28"/>
    <w:pPr>
      <w:keepNext/>
      <w:keepLines/>
      <w:spacing w:before="240" w:after="120"/>
      <w:outlineLvl w:val="0"/>
    </w:pPr>
    <w:rPr>
      <w:rFonts w:cstheme="minorHAnsi"/>
      <w:color w:val="0194A6"/>
      <w:sz w:val="44"/>
      <w:szCs w:val="26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252B28"/>
    <w:pPr>
      <w:numPr>
        <w:ilvl w:val="1"/>
      </w:numPr>
      <w:tabs>
        <w:tab w:val="left" w:pos="0"/>
      </w:tabs>
      <w:spacing w:before="120" w:after="0"/>
      <w:outlineLvl w:val="1"/>
    </w:pPr>
    <w:rPr>
      <w:color w:val="33C1D7"/>
      <w:sz w:val="32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252B28"/>
    <w:pPr>
      <w:numPr>
        <w:ilvl w:val="2"/>
      </w:numPr>
      <w:outlineLvl w:val="2"/>
    </w:pPr>
    <w:rPr>
      <w:color w:val="0094A6"/>
      <w:sz w:val="24"/>
      <w:szCs w:val="2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2B28"/>
    <w:pPr>
      <w:numPr>
        <w:ilvl w:val="0"/>
      </w:numPr>
      <w:outlineLvl w:val="3"/>
    </w:pPr>
    <w:rPr>
      <w:rFonts w:eastAsiaTheme="minorEastAsia" w:cs="Times New Roman"/>
      <w:b/>
      <w:bCs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B28"/>
    <w:rPr>
      <w:rFonts w:ascii="Arial" w:hAnsi="Arial" w:cstheme="minorHAnsi"/>
      <w:color w:val="0194A6"/>
      <w:sz w:val="4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52B28"/>
    <w:rPr>
      <w:rFonts w:ascii="Arial" w:hAnsi="Arial" w:cstheme="minorHAnsi"/>
      <w:color w:val="33C1D7"/>
      <w:sz w:val="32"/>
      <w:szCs w:val="24"/>
    </w:rPr>
  </w:style>
  <w:style w:type="character" w:styleId="Hyperlink">
    <w:name w:val="Hyperlink"/>
    <w:uiPriority w:val="99"/>
    <w:rsid w:val="00BC4E2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nhideWhenUsed/>
    <w:rsid w:val="00BC4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4E29"/>
    <w:rPr>
      <w:rFonts w:ascii="Helvetica" w:eastAsia="Times New Roman" w:hAnsi="Helvetica" w:cs="Arial"/>
      <w:szCs w:val="24"/>
    </w:rPr>
  </w:style>
  <w:style w:type="paragraph" w:customStyle="1" w:styleId="Bullet">
    <w:name w:val="Bullet"/>
    <w:basedOn w:val="Normal"/>
    <w:autoRedefine/>
    <w:qFormat/>
    <w:rsid w:val="00252B28"/>
    <w:pPr>
      <w:numPr>
        <w:numId w:val="15"/>
      </w:numPr>
      <w:spacing w:after="28"/>
    </w:pPr>
    <w:rPr>
      <w:rFonts w:eastAsiaTheme="minorHAnsi"/>
      <w:szCs w:val="22"/>
    </w:rPr>
  </w:style>
  <w:style w:type="paragraph" w:customStyle="1" w:styleId="GreyBubbleBox1">
    <w:name w:val="Grey  Bubble Box1"/>
    <w:basedOn w:val="Normal"/>
    <w:next w:val="Normal"/>
    <w:autoRedefine/>
    <w:rsid w:val="00BC4E29"/>
    <w:pPr>
      <w:pBdr>
        <w:top w:val="single" w:sz="48" w:space="3" w:color="E5E5E5"/>
        <w:left w:val="single" w:sz="48" w:space="8" w:color="E5E5E5"/>
        <w:bottom w:val="single" w:sz="48" w:space="6" w:color="E5E5E5"/>
        <w:right w:val="single" w:sz="48" w:space="8" w:color="E5E5E5"/>
      </w:pBdr>
      <w:shd w:val="clear" w:color="auto" w:fill="E5E5E5"/>
      <w:spacing w:before="240" w:after="113" w:line="320" w:lineRule="exact"/>
      <w:ind w:left="284" w:right="284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BC4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29"/>
    <w:rPr>
      <w:rFonts w:ascii="Helvetica" w:eastAsia="Times New Roman" w:hAnsi="Helvetica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2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51CC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252B28"/>
    <w:pPr>
      <w:spacing w:before="120"/>
      <w:ind w:left="57"/>
    </w:pPr>
    <w:rPr>
      <w:b/>
      <w:bCs/>
      <w:color w:val="FFFFFF" w:themeColor="background1"/>
      <w:szCs w:val="24"/>
    </w:rPr>
  </w:style>
  <w:style w:type="character" w:customStyle="1" w:styleId="TableHeadingChar">
    <w:name w:val="Table Heading Char"/>
    <w:basedOn w:val="DefaultParagraphFont"/>
    <w:link w:val="TableHeading"/>
    <w:rsid w:val="00252B28"/>
    <w:rPr>
      <w:rFonts w:ascii="Arial" w:hAnsi="Arial" w:cs="Arial"/>
      <w:b/>
      <w:bCs/>
      <w:color w:val="FFFFFF" w:themeColor="background1"/>
      <w:szCs w:val="24"/>
    </w:rPr>
  </w:style>
  <w:style w:type="paragraph" w:customStyle="1" w:styleId="TableEntries">
    <w:name w:val="Table Entries"/>
    <w:basedOn w:val="Normal"/>
    <w:link w:val="TableEntriesChar"/>
    <w:qFormat/>
    <w:rsid w:val="00252B28"/>
    <w:pPr>
      <w:spacing w:before="120"/>
      <w:ind w:left="57"/>
    </w:pPr>
    <w:rPr>
      <w:szCs w:val="24"/>
    </w:rPr>
  </w:style>
  <w:style w:type="character" w:customStyle="1" w:styleId="TableEntriesChar">
    <w:name w:val="Table Entries Char"/>
    <w:basedOn w:val="DefaultParagraphFont"/>
    <w:link w:val="TableEntries"/>
    <w:rsid w:val="00252B28"/>
    <w:rPr>
      <w:rFonts w:ascii="Arial" w:hAnsi="Arial" w:cs="Arial"/>
      <w:szCs w:val="24"/>
    </w:rPr>
  </w:style>
  <w:style w:type="paragraph" w:customStyle="1" w:styleId="Guidance">
    <w:name w:val="Guidance"/>
    <w:basedOn w:val="Normal"/>
    <w:link w:val="GuidanceChar"/>
    <w:qFormat/>
    <w:rsid w:val="00252B28"/>
    <w:rPr>
      <w:color w:val="CD5443"/>
      <w:szCs w:val="24"/>
      <w:lang w:val="en-GB"/>
    </w:rPr>
  </w:style>
  <w:style w:type="character" w:customStyle="1" w:styleId="GuidanceChar">
    <w:name w:val="Guidance Char"/>
    <w:basedOn w:val="DefaultParagraphFont"/>
    <w:link w:val="Guidance"/>
    <w:rsid w:val="00252B28"/>
    <w:rPr>
      <w:rFonts w:ascii="Arial" w:hAnsi="Arial" w:cs="Arial"/>
      <w:color w:val="CD5443"/>
      <w:szCs w:val="24"/>
      <w:lang w:val="en-GB"/>
    </w:rPr>
  </w:style>
  <w:style w:type="paragraph" w:customStyle="1" w:styleId="CalloutBox-Paragraph">
    <w:name w:val="Callout Box - Paragraph"/>
    <w:basedOn w:val="Normal"/>
    <w:next w:val="Normal"/>
    <w:link w:val="CalloutBox-ParagraphChar"/>
    <w:autoRedefine/>
    <w:qFormat/>
    <w:rsid w:val="00252B28"/>
    <w:pPr>
      <w:pBdr>
        <w:top w:val="single" w:sz="48" w:space="3" w:color="DDDDDD"/>
        <w:left w:val="single" w:sz="48" w:space="8" w:color="DDDDDD"/>
        <w:bottom w:val="single" w:sz="48" w:space="6" w:color="DDDDDD"/>
        <w:right w:val="single" w:sz="48" w:space="8" w:color="DDDDDD"/>
      </w:pBdr>
      <w:shd w:val="clear" w:color="auto" w:fill="DDDDDD"/>
      <w:spacing w:before="240" w:after="113"/>
      <w:ind w:left="284" w:right="284"/>
      <w:contextualSpacing/>
    </w:pPr>
    <w:rPr>
      <w:rFonts w:eastAsiaTheme="minorHAnsi"/>
    </w:rPr>
  </w:style>
  <w:style w:type="character" w:customStyle="1" w:styleId="CalloutBox-ParagraphChar">
    <w:name w:val="Callout Box - Paragraph Char"/>
    <w:basedOn w:val="DefaultParagraphFont"/>
    <w:link w:val="CalloutBox-Paragraph"/>
    <w:rsid w:val="00252B28"/>
    <w:rPr>
      <w:rFonts w:ascii="Helvetica" w:eastAsiaTheme="minorHAnsi" w:hAnsi="Helvetica" w:cs="Arial"/>
      <w:sz w:val="22"/>
      <w:shd w:val="clear" w:color="auto" w:fill="DDDDDD"/>
    </w:rPr>
  </w:style>
  <w:style w:type="paragraph" w:customStyle="1" w:styleId="CaseStudyBox-Paragraph">
    <w:name w:val="Case Study Box - Paragraph"/>
    <w:basedOn w:val="CalloutBox-Paragraph"/>
    <w:link w:val="CaseStudyBox-ParagraphChar"/>
    <w:autoRedefine/>
    <w:qFormat/>
    <w:rsid w:val="00252B28"/>
    <w:pPr>
      <w:pBdr>
        <w:top w:val="single" w:sz="48" w:space="3" w:color="A6A6A6" w:themeColor="background1" w:themeShade="A6"/>
        <w:left w:val="single" w:sz="48" w:space="8" w:color="A6A6A6" w:themeColor="background1" w:themeShade="A6"/>
        <w:bottom w:val="single" w:sz="48" w:space="6" w:color="A6A6A6" w:themeColor="background1" w:themeShade="A6"/>
        <w:right w:val="single" w:sz="48" w:space="8" w:color="A6A6A6" w:themeColor="background1" w:themeShade="A6"/>
      </w:pBdr>
      <w:shd w:val="clear" w:color="auto" w:fill="A6A6A6" w:themeFill="background1" w:themeFillShade="A6"/>
    </w:pPr>
    <w:rPr>
      <w:b/>
      <w:color w:val="FFFFFF" w:themeColor="background1"/>
      <w:lang w:val="en"/>
    </w:rPr>
  </w:style>
  <w:style w:type="character" w:customStyle="1" w:styleId="CaseStudyBox-ParagraphChar">
    <w:name w:val="Case Study Box - Paragraph Char"/>
    <w:basedOn w:val="CalloutBox-ParagraphChar"/>
    <w:link w:val="CaseStudyBox-Paragraph"/>
    <w:rsid w:val="00252B28"/>
    <w:rPr>
      <w:rFonts w:ascii="Helvetica" w:eastAsiaTheme="minorHAnsi" w:hAnsi="Helvetica" w:cs="Arial"/>
      <w:b/>
      <w:color w:val="FFFFFF" w:themeColor="background1"/>
      <w:sz w:val="22"/>
      <w:shd w:val="clear" w:color="auto" w:fill="A6A6A6" w:themeFill="background1" w:themeFillShade="A6"/>
      <w:lang w:val="en"/>
    </w:rPr>
  </w:style>
  <w:style w:type="paragraph" w:customStyle="1" w:styleId="CaseStudyBox-Heading">
    <w:name w:val="Case Study Box - Heading"/>
    <w:basedOn w:val="CaseStudyBox-Paragraph"/>
    <w:link w:val="CaseStudyBox-HeadingChar"/>
    <w:qFormat/>
    <w:rsid w:val="00252B28"/>
  </w:style>
  <w:style w:type="character" w:customStyle="1" w:styleId="CaseStudyBox-HeadingChar">
    <w:name w:val="Case Study Box - Heading Char"/>
    <w:basedOn w:val="CaseStudyBox-ParagraphChar"/>
    <w:link w:val="CaseStudyBox-Heading"/>
    <w:rsid w:val="00252B28"/>
    <w:rPr>
      <w:rFonts w:ascii="Helvetica" w:eastAsiaTheme="minorHAnsi" w:hAnsi="Helvetica" w:cs="Arial"/>
      <w:b/>
      <w:color w:val="FFFFFF" w:themeColor="background1"/>
      <w:sz w:val="22"/>
      <w:shd w:val="clear" w:color="auto" w:fill="A6A6A6" w:themeFill="background1" w:themeFillShade="A6"/>
      <w:lang w:val="en"/>
    </w:rPr>
  </w:style>
  <w:style w:type="paragraph" w:customStyle="1" w:styleId="CalloutBox-Heading">
    <w:name w:val="Callout Box - Heading"/>
    <w:basedOn w:val="CalloutBox-Paragraph"/>
    <w:link w:val="CalloutBox-HeadingChar"/>
    <w:qFormat/>
    <w:rsid w:val="00252B28"/>
    <w:rPr>
      <w:b/>
      <w:lang w:val="en"/>
    </w:rPr>
  </w:style>
  <w:style w:type="character" w:customStyle="1" w:styleId="CalloutBox-HeadingChar">
    <w:name w:val="Callout Box - Heading Char"/>
    <w:basedOn w:val="CalloutBox-ParagraphChar"/>
    <w:link w:val="CalloutBox-Heading"/>
    <w:rsid w:val="00252B28"/>
    <w:rPr>
      <w:rFonts w:ascii="Helvetica" w:eastAsiaTheme="minorHAnsi" w:hAnsi="Helvetica" w:cs="Arial"/>
      <w:b/>
      <w:sz w:val="22"/>
      <w:shd w:val="clear" w:color="auto" w:fill="DDDDDD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252B28"/>
    <w:rPr>
      <w:rFonts w:ascii="Arial" w:hAnsi="Arial" w:cstheme="minorHAnsi"/>
      <w:color w:val="0094A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2B28"/>
    <w:rPr>
      <w:rFonts w:ascii="Helvetica" w:eastAsiaTheme="minorEastAsia" w:hAnsi="Helvetica"/>
      <w:b/>
      <w:bCs/>
      <w:sz w:val="22"/>
      <w:szCs w:val="28"/>
    </w:rPr>
  </w:style>
  <w:style w:type="paragraph" w:styleId="ListParagraph">
    <w:name w:val="List Paragraph"/>
    <w:basedOn w:val="Normal"/>
    <w:uiPriority w:val="34"/>
    <w:qFormat/>
    <w:rsid w:val="00252B28"/>
    <w:pPr>
      <w:numPr>
        <w:numId w:val="1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B28"/>
    <w:rPr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2B28"/>
    <w:rPr>
      <w:rFonts w:ascii="Arial" w:hAnsi="Arial" w:cs="Arial"/>
      <w:i/>
      <w:iCs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EA"/>
    <w:rPr>
      <w:rFonts w:ascii="Helvetica" w:hAnsi="Helvetica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EA"/>
    <w:rPr>
      <w:rFonts w:ascii="Helvetica" w:hAnsi="Helvetic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irwork.gov.au/lea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Islanders (ATSI) Fact sheet - Sick and carer's leave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 Torres Strait Islanders (ATSI) Fact sheet - Sick and carer's leave</dc:title>
  <dc:subject>ATSI Fact sheet - Sick and carer's leave</dc:subject>
  <dc:creator>GIORDANO,Alex</dc:creator>
  <cp:keywords>Aboriginal and Torres Strait Islanders (ATSI) Fact sheet - Sick and carer's leave</cp:keywords>
  <cp:lastModifiedBy>Robyn Parnell</cp:lastModifiedBy>
  <cp:revision>2</cp:revision>
  <dcterms:created xsi:type="dcterms:W3CDTF">2021-10-11T03:57:00Z</dcterms:created>
  <dcterms:modified xsi:type="dcterms:W3CDTF">2021-10-11T03:57:00Z</dcterms:modified>
</cp:coreProperties>
</file>