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2B75AC1A"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931079">
        <w:rPr>
          <w:rFonts w:cs="HelveticaNeue-Thin"/>
          <w:color w:val="010202"/>
          <w:sz w:val="40"/>
          <w:szCs w:val="71"/>
        </w:rPr>
        <w:t>13</w:t>
      </w:r>
      <w:r w:rsidR="00A061D9" w:rsidRPr="0021104D">
        <w:rPr>
          <w:rFonts w:cs="HelveticaNeue-Thin"/>
          <w:color w:val="010202"/>
          <w:sz w:val="40"/>
          <w:szCs w:val="71"/>
        </w:rPr>
        <w:t>th</w:t>
      </w:r>
      <w:r w:rsidR="00A061D9">
        <w:rPr>
          <w:rFonts w:cs="HelveticaNeue-Thin"/>
          <w:color w:val="010202"/>
          <w:sz w:val="40"/>
          <w:szCs w:val="71"/>
        </w:rPr>
        <w:t xml:space="preserve"> </w:t>
      </w:r>
      <w:r w:rsidR="00A43D41">
        <w:rPr>
          <w:rFonts w:cs="HelveticaNeue-Thin"/>
          <w:color w:val="010202"/>
          <w:sz w:val="40"/>
          <w:szCs w:val="71"/>
        </w:rPr>
        <w:t xml:space="preserve">December </w:t>
      </w:r>
      <w:r w:rsidR="004F5E20">
        <w:rPr>
          <w:rFonts w:cs="HelveticaNeue-Thin"/>
          <w:color w:val="010202"/>
          <w:sz w:val="40"/>
          <w:szCs w:val="71"/>
        </w:rPr>
        <w:t xml:space="preserve">to </w:t>
      </w:r>
      <w:r w:rsidR="00A43D41">
        <w:rPr>
          <w:rFonts w:cs="HelveticaNeue-Thin"/>
          <w:color w:val="010202"/>
          <w:sz w:val="40"/>
          <w:szCs w:val="71"/>
        </w:rPr>
        <w:t>1</w:t>
      </w:r>
      <w:r w:rsidR="00931079">
        <w:rPr>
          <w:rFonts w:cs="HelveticaNeue-Thin"/>
          <w:color w:val="010202"/>
          <w:sz w:val="40"/>
          <w:szCs w:val="71"/>
        </w:rPr>
        <w:t>7</w:t>
      </w:r>
      <w:r w:rsidR="00A43D41">
        <w:rPr>
          <w:rFonts w:cs="HelveticaNeue-Thin"/>
          <w:color w:val="010202"/>
          <w:sz w:val="40"/>
          <w:szCs w:val="71"/>
        </w:rPr>
        <w:t>th</w:t>
      </w:r>
      <w:r w:rsidR="008C37A2">
        <w:rPr>
          <w:rFonts w:cs="HelveticaNeue-Thin"/>
          <w:color w:val="010202"/>
          <w:sz w:val="40"/>
          <w:szCs w:val="71"/>
        </w:rPr>
        <w:t xml:space="preserve"> </w:t>
      </w:r>
      <w:r w:rsidR="00053403">
        <w:rPr>
          <w:rFonts w:cs="HelveticaNeue-Thin"/>
          <w:color w:val="010202"/>
          <w:sz w:val="40"/>
          <w:szCs w:val="71"/>
        </w:rPr>
        <w:t>December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310507">
        <w:rPr>
          <w:rFonts w:cs="HelveticaNeue-Thin"/>
          <w:color w:val="010202"/>
          <w:sz w:val="40"/>
          <w:szCs w:val="71"/>
        </w:rPr>
        <w:t>1</w:t>
      </w:r>
    </w:p>
    <w:p w14:paraId="4FE5430F" w14:textId="77777777" w:rsidR="0015611F" w:rsidRDefault="0015611F" w:rsidP="0015611F">
      <w:pPr>
        <w:spacing w:after="0"/>
      </w:pPr>
    </w:p>
    <w:p w14:paraId="4FD62E2D" w14:textId="5747ABC6" w:rsidR="00007A44" w:rsidRPr="007271CB" w:rsidRDefault="00007A44" w:rsidP="0015611F">
      <w:pPr>
        <w:spacing w:after="0"/>
        <w:rPr>
          <w:sz w:val="24"/>
          <w:szCs w:val="24"/>
        </w:rPr>
      </w:pPr>
      <w:r w:rsidRPr="007271CB">
        <w:rPr>
          <w:sz w:val="24"/>
          <w:szCs w:val="24"/>
        </w:rPr>
        <w:t>Dear Families,</w:t>
      </w:r>
    </w:p>
    <w:p w14:paraId="7395B9BF" w14:textId="77777777" w:rsidR="00146C41" w:rsidRPr="007271CB" w:rsidRDefault="00146C41" w:rsidP="0015611F">
      <w:pPr>
        <w:spacing w:after="0"/>
        <w:rPr>
          <w:sz w:val="24"/>
          <w:szCs w:val="24"/>
        </w:rPr>
      </w:pPr>
    </w:p>
    <w:p w14:paraId="66B66663" w14:textId="77777777" w:rsidR="00F44E46" w:rsidRPr="007271CB" w:rsidRDefault="00007A44" w:rsidP="00AF681F">
      <w:pPr>
        <w:pStyle w:val="NoSpacing"/>
        <w:spacing w:line="276" w:lineRule="auto"/>
        <w:rPr>
          <w:sz w:val="24"/>
          <w:szCs w:val="24"/>
        </w:rPr>
      </w:pPr>
      <w:r w:rsidRPr="007271CB">
        <w:rPr>
          <w:sz w:val="24"/>
          <w:szCs w:val="24"/>
        </w:rPr>
        <w:t>As a part of the continuous improvement required by the National Quality Standard, this week we</w:t>
      </w:r>
      <w:r w:rsidR="007F1AEF" w:rsidRPr="007271CB">
        <w:rPr>
          <w:sz w:val="24"/>
          <w:szCs w:val="24"/>
        </w:rPr>
        <w:t xml:space="preserve"> are</w:t>
      </w:r>
      <w:r w:rsidR="00F44E46" w:rsidRPr="007271CB">
        <w:rPr>
          <w:sz w:val="24"/>
          <w:szCs w:val="24"/>
        </w:rPr>
        <w:t>:</w:t>
      </w:r>
    </w:p>
    <w:p w14:paraId="684E409B" w14:textId="4536E432" w:rsidR="00DD22D8" w:rsidRPr="007271CB" w:rsidRDefault="00DB5AE6" w:rsidP="00135891">
      <w:pPr>
        <w:pStyle w:val="ListParagraph"/>
        <w:numPr>
          <w:ilvl w:val="0"/>
          <w:numId w:val="2"/>
        </w:numPr>
        <w:autoSpaceDE w:val="0"/>
        <w:autoSpaceDN w:val="0"/>
        <w:spacing w:after="0" w:line="259" w:lineRule="auto"/>
        <w:rPr>
          <w:bCs/>
          <w:sz w:val="24"/>
          <w:szCs w:val="24"/>
        </w:rPr>
      </w:pPr>
      <w:r w:rsidRPr="007271CB">
        <w:rPr>
          <w:bCs/>
          <w:sz w:val="24"/>
          <w:szCs w:val="24"/>
        </w:rPr>
        <w:t xml:space="preserve">reviewing </w:t>
      </w:r>
      <w:r w:rsidR="00072ABD" w:rsidRPr="007271CB">
        <w:rPr>
          <w:bCs/>
          <w:sz w:val="24"/>
          <w:szCs w:val="24"/>
        </w:rPr>
        <w:t xml:space="preserve">our governance and management systems. These include our compliance practices, and processes we implement to manage risk, keep secure and confidential records, and manage complaints. We always welcome feedback on any of our governance or admin </w:t>
      </w:r>
      <w:r w:rsidR="007271CB" w:rsidRPr="007271CB">
        <w:rPr>
          <w:bCs/>
          <w:sz w:val="24"/>
          <w:szCs w:val="24"/>
        </w:rPr>
        <w:t xml:space="preserve">practices. </w:t>
      </w:r>
      <w:r w:rsidR="00DD22D8" w:rsidRPr="007271CB">
        <w:rPr>
          <w:rFonts w:cstheme="minorHAnsi"/>
          <w:sz w:val="24"/>
          <w:szCs w:val="24"/>
        </w:rPr>
        <w:t>If you</w:t>
      </w:r>
      <w:r w:rsidR="007271CB" w:rsidRPr="007271CB">
        <w:rPr>
          <w:rFonts w:cstheme="minorHAnsi"/>
          <w:sz w:val="24"/>
          <w:szCs w:val="24"/>
        </w:rPr>
        <w:t xml:space="preserve"> feel there is something we could improve, please let me know</w:t>
      </w:r>
    </w:p>
    <w:p w14:paraId="1FAB7409" w14:textId="6FADBC71" w:rsidR="00FA6E56" w:rsidRPr="007271CB" w:rsidRDefault="00FA6E56" w:rsidP="00135891">
      <w:pPr>
        <w:pStyle w:val="ListParagraph"/>
        <w:numPr>
          <w:ilvl w:val="0"/>
          <w:numId w:val="2"/>
        </w:numPr>
        <w:autoSpaceDE w:val="0"/>
        <w:autoSpaceDN w:val="0"/>
        <w:spacing w:after="0" w:line="259" w:lineRule="auto"/>
        <w:rPr>
          <w:bCs/>
          <w:sz w:val="24"/>
          <w:szCs w:val="24"/>
        </w:rPr>
      </w:pPr>
      <w:r w:rsidRPr="007271CB">
        <w:rPr>
          <w:bCs/>
          <w:sz w:val="24"/>
          <w:szCs w:val="24"/>
        </w:rPr>
        <w:t xml:space="preserve">reviewing our </w:t>
      </w:r>
      <w:r w:rsidR="00931079" w:rsidRPr="007271CB">
        <w:rPr>
          <w:bCs/>
          <w:sz w:val="24"/>
          <w:szCs w:val="24"/>
        </w:rPr>
        <w:t>Fees</w:t>
      </w:r>
      <w:r w:rsidR="0021104D" w:rsidRPr="007271CB">
        <w:rPr>
          <w:rFonts w:cstheme="minorHAnsi"/>
          <w:b/>
          <w:sz w:val="24"/>
          <w:szCs w:val="24"/>
        </w:rPr>
        <w:t xml:space="preserve"> </w:t>
      </w:r>
      <w:r w:rsidR="0015611F" w:rsidRPr="007271CB">
        <w:rPr>
          <w:bCs/>
          <w:sz w:val="24"/>
          <w:szCs w:val="24"/>
        </w:rPr>
        <w:t>Policy</w:t>
      </w:r>
      <w:r w:rsidR="00931079" w:rsidRPr="007271CB">
        <w:rPr>
          <w:bCs/>
          <w:sz w:val="24"/>
          <w:szCs w:val="24"/>
        </w:rPr>
        <w:t xml:space="preserve"> and Governance Policy</w:t>
      </w:r>
      <w:r w:rsidR="0015611F" w:rsidRPr="007271CB">
        <w:rPr>
          <w:bCs/>
          <w:sz w:val="24"/>
          <w:szCs w:val="24"/>
        </w:rPr>
        <w:t>.</w:t>
      </w:r>
      <w:r w:rsidR="00AF1F95" w:rsidRPr="007271CB">
        <w:rPr>
          <w:b/>
          <w:bCs/>
          <w:color w:val="010202"/>
          <w:sz w:val="24"/>
          <w:szCs w:val="24"/>
        </w:rPr>
        <w:t xml:space="preserve"> </w:t>
      </w:r>
      <w:r w:rsidR="007271CB" w:rsidRPr="007271CB">
        <w:rPr>
          <w:b/>
          <w:bCs/>
          <w:color w:val="010202"/>
          <w:sz w:val="24"/>
          <w:szCs w:val="24"/>
        </w:rPr>
        <w:t>S</w:t>
      </w:r>
      <w:r w:rsidR="003E2A5E" w:rsidRPr="007271CB">
        <w:rPr>
          <w:bCs/>
          <w:sz w:val="24"/>
          <w:szCs w:val="24"/>
        </w:rPr>
        <w:t>umma</w:t>
      </w:r>
      <w:r w:rsidR="00146C41" w:rsidRPr="007271CB">
        <w:rPr>
          <w:bCs/>
          <w:sz w:val="24"/>
          <w:szCs w:val="24"/>
        </w:rPr>
        <w:t>r</w:t>
      </w:r>
      <w:r w:rsidR="007271CB" w:rsidRPr="007271CB">
        <w:rPr>
          <w:bCs/>
          <w:sz w:val="24"/>
          <w:szCs w:val="24"/>
        </w:rPr>
        <w:t>ies</w:t>
      </w:r>
      <w:r w:rsidR="00E852DA" w:rsidRPr="007271CB">
        <w:rPr>
          <w:bCs/>
          <w:sz w:val="24"/>
          <w:szCs w:val="24"/>
        </w:rPr>
        <w:t xml:space="preserve"> </w:t>
      </w:r>
      <w:r w:rsidRPr="007271CB">
        <w:rPr>
          <w:bCs/>
          <w:sz w:val="24"/>
          <w:szCs w:val="24"/>
        </w:rPr>
        <w:t xml:space="preserve">follow: </w:t>
      </w:r>
    </w:p>
    <w:p w14:paraId="5345F088" w14:textId="77777777" w:rsidR="001259D4" w:rsidRPr="007271CB" w:rsidRDefault="001259D4" w:rsidP="001259D4">
      <w:pPr>
        <w:spacing w:after="0" w:line="240" w:lineRule="auto"/>
        <w:rPr>
          <w:rFonts w:ascii="Calibri" w:eastAsia="Calibri" w:hAnsi="Calibri" w:cs="Times New Roman"/>
          <w:b/>
          <w:sz w:val="24"/>
          <w:szCs w:val="24"/>
        </w:rPr>
        <w:sectPr w:rsidR="001259D4" w:rsidRPr="007271CB" w:rsidSect="00467006">
          <w:pgSz w:w="11906" w:h="16838"/>
          <w:pgMar w:top="720" w:right="720" w:bottom="720" w:left="720" w:header="708" w:footer="708" w:gutter="0"/>
          <w:cols w:space="708"/>
          <w:docGrid w:linePitch="360"/>
        </w:sectPr>
      </w:pPr>
    </w:p>
    <w:p w14:paraId="56B53A17" w14:textId="77777777" w:rsidR="00DD22D8" w:rsidRPr="007271CB" w:rsidRDefault="00DD22D8" w:rsidP="0021104D">
      <w:pPr>
        <w:spacing w:after="0"/>
        <w:rPr>
          <w:rFonts w:cstheme="minorHAnsi"/>
          <w:b/>
          <w:sz w:val="24"/>
          <w:szCs w:val="24"/>
        </w:rPr>
      </w:pPr>
    </w:p>
    <w:p w14:paraId="5D15E1DD" w14:textId="77777777" w:rsidR="007271CB" w:rsidRPr="007271CB" w:rsidRDefault="007271CB" w:rsidP="007271CB">
      <w:pPr>
        <w:spacing w:after="0"/>
        <w:rPr>
          <w:rFonts w:ascii="Calibri" w:eastAsia="Calibri" w:hAnsi="Calibri"/>
          <w:b/>
          <w:sz w:val="24"/>
          <w:szCs w:val="24"/>
        </w:rPr>
      </w:pPr>
      <w:r w:rsidRPr="007271CB">
        <w:rPr>
          <w:rFonts w:ascii="Calibri" w:eastAsia="Calibri" w:hAnsi="Calibri"/>
          <w:b/>
          <w:sz w:val="24"/>
          <w:szCs w:val="24"/>
        </w:rPr>
        <w:t>Governance</w:t>
      </w:r>
      <w:r w:rsidRPr="007271CB">
        <w:rPr>
          <w:rFonts w:ascii="Calibri" w:eastAsia="Calibri" w:hAnsi="Calibri"/>
          <w:sz w:val="24"/>
          <w:szCs w:val="24"/>
        </w:rPr>
        <w:t xml:space="preserve"> </w:t>
      </w:r>
      <w:r w:rsidRPr="007271CB">
        <w:rPr>
          <w:rFonts w:ascii="Calibri" w:eastAsia="Calibri" w:hAnsi="Calibri"/>
          <w:b/>
          <w:sz w:val="24"/>
          <w:szCs w:val="24"/>
        </w:rPr>
        <w:t>Policy</w:t>
      </w:r>
    </w:p>
    <w:p w14:paraId="2B86D425" w14:textId="77777777" w:rsidR="007271CB" w:rsidRPr="007271CB" w:rsidRDefault="007271CB" w:rsidP="007271CB">
      <w:pPr>
        <w:spacing w:after="0"/>
        <w:rPr>
          <w:rFonts w:ascii="Calibri" w:eastAsia="Calibri" w:hAnsi="Calibri"/>
          <w:sz w:val="24"/>
          <w:szCs w:val="24"/>
        </w:rPr>
      </w:pPr>
      <w:r w:rsidRPr="007271CB">
        <w:rPr>
          <w:rFonts w:ascii="Calibri" w:eastAsia="Calibri" w:hAnsi="Calibri"/>
          <w:sz w:val="24"/>
          <w:szCs w:val="24"/>
        </w:rPr>
        <w:t>The Governance Policy outlines our Service structure, roles and responsibilities and adopts several governance principles including:</w:t>
      </w:r>
    </w:p>
    <w:p w14:paraId="6E8568C1"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clearly defined reporting relationships</w:t>
      </w:r>
    </w:p>
    <w:p w14:paraId="0F10A1BD"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effective delegation guidelines</w:t>
      </w:r>
    </w:p>
    <w:p w14:paraId="0C197940"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 xml:space="preserve">regular communication between managers to ensure compliance and best practice </w:t>
      </w:r>
    </w:p>
    <w:p w14:paraId="484D3875"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ethical and responsible decision making consistent with our Code of Conduct, policies and the National Education and Care Law and Regulations</w:t>
      </w:r>
    </w:p>
    <w:p w14:paraId="557BC0C9"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fraud prevention eg in relation to administration of the Child Care Subsidy</w:t>
      </w:r>
    </w:p>
    <w:p w14:paraId="079FC886"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making timely and balanced disclosures eg as required under National Law and Regulations</w:t>
      </w:r>
    </w:p>
    <w:p w14:paraId="17DC6691"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rights of children and families to be involved in decision making eg through regular requests for feedback and provision of information</w:t>
      </w:r>
    </w:p>
    <w:p w14:paraId="7D5790C1" w14:textId="77777777" w:rsidR="007271CB" w:rsidRPr="007271CB" w:rsidRDefault="007271CB" w:rsidP="007271CB">
      <w:pPr>
        <w:numPr>
          <w:ilvl w:val="0"/>
          <w:numId w:val="22"/>
        </w:numPr>
        <w:spacing w:after="0"/>
        <w:rPr>
          <w:rFonts w:ascii="Calibri" w:eastAsia="Calibri" w:hAnsi="Calibri"/>
          <w:sz w:val="24"/>
          <w:szCs w:val="24"/>
        </w:rPr>
      </w:pPr>
      <w:r w:rsidRPr="007271CB">
        <w:rPr>
          <w:rFonts w:ascii="Calibri" w:eastAsia="Calibri" w:hAnsi="Calibri"/>
          <w:sz w:val="24"/>
          <w:szCs w:val="24"/>
        </w:rPr>
        <w:t>recognising and managing risk eg through risk assessments, WHS and hygiene procedures, compliance with policies and procedures.</w:t>
      </w:r>
    </w:p>
    <w:p w14:paraId="4104CE08" w14:textId="77777777" w:rsidR="007271CB" w:rsidRPr="007271CB" w:rsidRDefault="007271CB" w:rsidP="007271CB">
      <w:pPr>
        <w:spacing w:after="0" w:line="259" w:lineRule="auto"/>
        <w:rPr>
          <w:rFonts w:cstheme="minorHAnsi"/>
          <w:b/>
          <w:bCs/>
          <w:sz w:val="24"/>
          <w:szCs w:val="24"/>
        </w:rPr>
      </w:pPr>
    </w:p>
    <w:p w14:paraId="2FEA9281" w14:textId="0F08006B" w:rsidR="007271CB" w:rsidRPr="007271CB" w:rsidRDefault="007271CB" w:rsidP="007271CB">
      <w:pPr>
        <w:spacing w:after="0" w:line="259" w:lineRule="auto"/>
        <w:rPr>
          <w:rFonts w:cstheme="minorHAnsi"/>
          <w:b/>
          <w:bCs/>
          <w:sz w:val="24"/>
          <w:szCs w:val="24"/>
        </w:rPr>
      </w:pPr>
      <w:r w:rsidRPr="007271CB">
        <w:rPr>
          <w:rFonts w:cstheme="minorHAnsi"/>
          <w:b/>
          <w:bCs/>
          <w:sz w:val="24"/>
          <w:szCs w:val="24"/>
        </w:rPr>
        <w:t>Fees Policy</w:t>
      </w:r>
    </w:p>
    <w:p w14:paraId="550327FE" w14:textId="77777777" w:rsidR="007271CB" w:rsidRPr="007271CB" w:rsidRDefault="007271CB" w:rsidP="007271CB">
      <w:pPr>
        <w:autoSpaceDE w:val="0"/>
        <w:autoSpaceDN w:val="0"/>
        <w:spacing w:after="0" w:line="259" w:lineRule="auto"/>
        <w:rPr>
          <w:rFonts w:cstheme="minorHAnsi"/>
          <w:sz w:val="24"/>
          <w:szCs w:val="24"/>
        </w:rPr>
      </w:pPr>
      <w:r w:rsidRPr="007271CB">
        <w:rPr>
          <w:rFonts w:cstheme="minorHAnsi"/>
          <w:sz w:val="24"/>
          <w:szCs w:val="24"/>
        </w:rPr>
        <w:t>Includes information about:</w:t>
      </w:r>
    </w:p>
    <w:p w14:paraId="75221FE6"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booking/enrolment fee</w:t>
      </w:r>
    </w:p>
    <w:p w14:paraId="392EB896"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how and when fees must be paid (eg in advance, weekly or fortnightly, pupil free days, when child is sick or on holidays)</w:t>
      </w:r>
    </w:p>
    <w:p w14:paraId="506C1A0C"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arrangements for Child Care Subsidy</w:t>
      </w:r>
    </w:p>
    <w:p w14:paraId="5E302A1B"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what must be included in statements of entitlement</w:t>
      </w:r>
    </w:p>
    <w:p w14:paraId="78CC2F4A"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invoices and receipts</w:t>
      </w:r>
    </w:p>
    <w:p w14:paraId="4C3F0FC9"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notice required to terminate enrolment (parents or NS) or cancel casual bookings</w:t>
      </w:r>
    </w:p>
    <w:p w14:paraId="2A4D6D0F" w14:textId="77777777" w:rsidR="007271CB" w:rsidRPr="007271CB" w:rsidRDefault="007271CB" w:rsidP="007271CB">
      <w:pPr>
        <w:numPr>
          <w:ilvl w:val="0"/>
          <w:numId w:val="17"/>
        </w:numPr>
        <w:spacing w:after="0" w:line="259" w:lineRule="auto"/>
        <w:ind w:left="360"/>
        <w:rPr>
          <w:rFonts w:cstheme="minorHAnsi"/>
          <w:sz w:val="24"/>
          <w:szCs w:val="24"/>
        </w:rPr>
      </w:pPr>
      <w:r w:rsidRPr="007271CB">
        <w:rPr>
          <w:rFonts w:cstheme="minorHAnsi"/>
          <w:sz w:val="24"/>
          <w:szCs w:val="24"/>
        </w:rPr>
        <w:t>service fees including late fees</w:t>
      </w:r>
    </w:p>
    <w:p w14:paraId="6756CFE5" w14:textId="775DA685" w:rsidR="00C42C56" w:rsidRPr="007271CB" w:rsidRDefault="007271CB" w:rsidP="007271CB">
      <w:pPr>
        <w:ind w:left="360"/>
        <w:contextualSpacing/>
        <w:rPr>
          <w:rFonts w:ascii="Calibri" w:eastAsia="Calibri" w:hAnsi="Calibri" w:cs="Times New Roman"/>
          <w:sz w:val="24"/>
          <w:szCs w:val="24"/>
        </w:rPr>
        <w:sectPr w:rsidR="00C42C56" w:rsidRPr="007271CB" w:rsidSect="00C42C56">
          <w:type w:val="continuous"/>
          <w:pgSz w:w="11906" w:h="16838"/>
          <w:pgMar w:top="720" w:right="720" w:bottom="720" w:left="720" w:header="708" w:footer="708" w:gutter="0"/>
          <w:cols w:space="708"/>
          <w:docGrid w:linePitch="360"/>
        </w:sectPr>
      </w:pPr>
      <w:r w:rsidRPr="007271CB">
        <w:rPr>
          <w:rFonts w:cstheme="minorHAnsi"/>
          <w:sz w:val="24"/>
          <w:szCs w:val="24"/>
        </w:rPr>
        <w:t>process for recovering overdue fees.</w:t>
      </w:r>
    </w:p>
    <w:p w14:paraId="6EBEE9AF" w14:textId="7ACC335A" w:rsidR="002B0105" w:rsidRPr="007271CB" w:rsidRDefault="00C40E97" w:rsidP="003B4D31">
      <w:pPr>
        <w:pStyle w:val="NoSpacing"/>
        <w:spacing w:line="276" w:lineRule="auto"/>
        <w:rPr>
          <w:sz w:val="24"/>
          <w:szCs w:val="24"/>
        </w:rPr>
      </w:pPr>
      <w:r w:rsidRPr="007271CB">
        <w:rPr>
          <w:sz w:val="24"/>
          <w:szCs w:val="24"/>
        </w:rPr>
        <w:t>T</w:t>
      </w:r>
      <w:r w:rsidR="00666487" w:rsidRPr="007271CB">
        <w:rPr>
          <w:sz w:val="24"/>
          <w:szCs w:val="24"/>
        </w:rPr>
        <w:t>here</w:t>
      </w:r>
      <w:r w:rsidR="008E41A8" w:rsidRPr="007271CB">
        <w:rPr>
          <w:sz w:val="24"/>
          <w:szCs w:val="24"/>
        </w:rPr>
        <w:t xml:space="preserve"> </w:t>
      </w:r>
      <w:r w:rsidR="00931079" w:rsidRPr="007271CB">
        <w:rPr>
          <w:sz w:val="24"/>
          <w:szCs w:val="24"/>
        </w:rPr>
        <w:t>are</w:t>
      </w:r>
      <w:r w:rsidR="00C42C56" w:rsidRPr="007271CB">
        <w:rPr>
          <w:sz w:val="24"/>
          <w:szCs w:val="24"/>
        </w:rPr>
        <w:t xml:space="preserve"> cop</w:t>
      </w:r>
      <w:r w:rsidR="00931079" w:rsidRPr="007271CB">
        <w:rPr>
          <w:sz w:val="24"/>
          <w:szCs w:val="24"/>
        </w:rPr>
        <w:t>ies</w:t>
      </w:r>
      <w:r w:rsidR="00265222" w:rsidRPr="007271CB">
        <w:rPr>
          <w:sz w:val="24"/>
          <w:szCs w:val="24"/>
        </w:rPr>
        <w:t xml:space="preserve"> of the polic</w:t>
      </w:r>
      <w:r w:rsidR="00931079" w:rsidRPr="007271CB">
        <w:rPr>
          <w:sz w:val="24"/>
          <w:szCs w:val="24"/>
        </w:rPr>
        <w:t>ies</w:t>
      </w:r>
      <w:r w:rsidR="008E41A8" w:rsidRPr="007271CB">
        <w:rPr>
          <w:sz w:val="24"/>
          <w:szCs w:val="24"/>
        </w:rPr>
        <w:t xml:space="preserve"> </w:t>
      </w:r>
      <w:r w:rsidR="00007A44" w:rsidRPr="007271CB">
        <w:rPr>
          <w:sz w:val="24"/>
          <w:szCs w:val="24"/>
        </w:rPr>
        <w:t>near the sign in/out sheet</w:t>
      </w:r>
      <w:r w:rsidR="007A5C64" w:rsidRPr="007271CB">
        <w:rPr>
          <w:sz w:val="24"/>
          <w:szCs w:val="24"/>
        </w:rPr>
        <w:t xml:space="preserve">. Please take a moment to read </w:t>
      </w:r>
      <w:r w:rsidR="00931079" w:rsidRPr="007271CB">
        <w:rPr>
          <w:sz w:val="24"/>
          <w:szCs w:val="24"/>
        </w:rPr>
        <w:t>them</w:t>
      </w:r>
      <w:r w:rsidR="00146C41" w:rsidRPr="007271CB">
        <w:rPr>
          <w:sz w:val="24"/>
          <w:szCs w:val="24"/>
        </w:rPr>
        <w:t>.</w:t>
      </w:r>
    </w:p>
    <w:p w14:paraId="7A2D5D90" w14:textId="0C85890D" w:rsidR="00146C41" w:rsidRPr="007271CB" w:rsidRDefault="00146C41" w:rsidP="00AF681F">
      <w:pPr>
        <w:pStyle w:val="ListParagraph"/>
        <w:ind w:left="0"/>
        <w:rPr>
          <w:sz w:val="24"/>
          <w:szCs w:val="24"/>
        </w:rPr>
      </w:pPr>
    </w:p>
    <w:p w14:paraId="2D17D676" w14:textId="396B5E44" w:rsidR="00007A44" w:rsidRPr="007271CB" w:rsidRDefault="007A5C64" w:rsidP="00AF681F">
      <w:pPr>
        <w:pStyle w:val="ListParagraph"/>
        <w:ind w:left="0"/>
        <w:rPr>
          <w:sz w:val="24"/>
          <w:szCs w:val="24"/>
        </w:rPr>
      </w:pPr>
      <w:r w:rsidRPr="007271CB">
        <w:rPr>
          <w:sz w:val="24"/>
          <w:szCs w:val="24"/>
        </w:rPr>
        <w:t>W</w:t>
      </w:r>
      <w:r w:rsidR="00007A44" w:rsidRPr="007271CB">
        <w:rPr>
          <w:sz w:val="24"/>
          <w:szCs w:val="24"/>
        </w:rPr>
        <w:t>e value any feedback you may have.</w:t>
      </w:r>
    </w:p>
    <w:p w14:paraId="670C2168" w14:textId="576A704A" w:rsidR="00146C41" w:rsidRPr="007271CB" w:rsidRDefault="00146C41" w:rsidP="00AF681F">
      <w:pPr>
        <w:pStyle w:val="ListParagraph"/>
        <w:ind w:left="0"/>
        <w:rPr>
          <w:sz w:val="24"/>
          <w:szCs w:val="24"/>
        </w:rPr>
      </w:pPr>
    </w:p>
    <w:p w14:paraId="1015DE35" w14:textId="77777777" w:rsidR="00007A44" w:rsidRPr="007271CB" w:rsidRDefault="00007A44" w:rsidP="00AF681F">
      <w:pPr>
        <w:rPr>
          <w:sz w:val="24"/>
          <w:szCs w:val="24"/>
        </w:rPr>
      </w:pPr>
      <w:r w:rsidRPr="007271CB">
        <w:rPr>
          <w:sz w:val="24"/>
          <w:szCs w:val="24"/>
        </w:rPr>
        <w:t>Nominated Supervisor</w:t>
      </w:r>
    </w:p>
    <w:sectPr w:rsidR="00007A44" w:rsidRPr="007271CB"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2"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7"/>
  </w:num>
  <w:num w:numId="21">
    <w:abstractNumId w:val="2"/>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ABD"/>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1CB"/>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079"/>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9</cp:revision>
  <dcterms:created xsi:type="dcterms:W3CDTF">2021-11-17T06:10:00Z</dcterms:created>
  <dcterms:modified xsi:type="dcterms:W3CDTF">2021-12-07T06:03:00Z</dcterms:modified>
</cp:coreProperties>
</file>