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0"/>
        <w:tblOverlap w:val="never"/>
        <w:tblW w:w="0" w:type="auto"/>
        <w:tblLook w:val="04A0"/>
      </w:tblPr>
      <w:tblGrid>
        <w:gridCol w:w="8000"/>
      </w:tblGrid>
      <w:tr w:rsidR="00885E27" w:rsidTr="00885E27">
        <w:trPr>
          <w:trHeight w:val="1423"/>
        </w:trPr>
        <w:tc>
          <w:tcPr>
            <w:tcW w:w="8000" w:type="dxa"/>
            <w:shd w:val="clear" w:color="auto" w:fill="auto"/>
            <w:vAlign w:val="bottom"/>
          </w:tcPr>
          <w:p w:rsidR="00885E27" w:rsidRDefault="00885E27" w:rsidP="00885E27">
            <w:pPr>
              <w:pStyle w:val="DHHSmainheading"/>
            </w:pPr>
            <w:r>
              <w:t>Immunisation and exclusions</w:t>
            </w:r>
          </w:p>
          <w:p w:rsidR="00885E27" w:rsidRPr="00161AA0" w:rsidRDefault="00885E27" w:rsidP="00885E27">
            <w:pPr>
              <w:pStyle w:val="DHHSmainheading"/>
            </w:pPr>
            <w:r>
              <w:t>(schools and children’s services)</w:t>
            </w:r>
          </w:p>
        </w:tc>
      </w:tr>
      <w:tr w:rsidR="00885E27" w:rsidTr="00885E27">
        <w:trPr>
          <w:trHeight w:hRule="exact" w:val="939"/>
        </w:trPr>
        <w:tc>
          <w:tcPr>
            <w:tcW w:w="8000" w:type="dxa"/>
            <w:shd w:val="clear" w:color="auto" w:fill="auto"/>
            <w:tcMar>
              <w:top w:w="170" w:type="dxa"/>
              <w:bottom w:w="510" w:type="dxa"/>
            </w:tcMar>
          </w:tcPr>
          <w:p w:rsidR="00885E27" w:rsidRDefault="00885E27" w:rsidP="00885E27">
            <w:pPr>
              <w:pStyle w:val="DHHSmainsubheading"/>
              <w:rPr>
                <w:szCs w:val="28"/>
              </w:rPr>
            </w:pPr>
            <w:r>
              <w:rPr>
                <w:szCs w:val="28"/>
              </w:rPr>
              <w:t xml:space="preserve">Changes to the Public Health and Wellbeing Regulations  </w:t>
            </w:r>
          </w:p>
          <w:p w:rsidR="00885E27" w:rsidRPr="00AD784C" w:rsidRDefault="00885E27" w:rsidP="00885E27">
            <w:pPr>
              <w:pStyle w:val="DHHSmainsubheading"/>
              <w:rPr>
                <w:szCs w:val="28"/>
              </w:rPr>
            </w:pPr>
            <w:r>
              <w:rPr>
                <w:szCs w:val="28"/>
              </w:rPr>
              <w:t>from 14 December 2019</w:t>
            </w:r>
          </w:p>
        </w:tc>
      </w:tr>
    </w:tbl>
    <w:p w:rsidR="0074696E" w:rsidRPr="004C6EEE" w:rsidRDefault="00CE6130" w:rsidP="00AD784C">
      <w:pPr>
        <w:pStyle w:val="Spacerparatopoffirstpage"/>
      </w:pPr>
      <w:r>
        <w:rPr>
          <w:lang w:eastAsia="en-AU"/>
        </w:rPr>
        <w:lastRenderedPageBreak/>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196215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3485" cy="196215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885E27">
          <w:headerReference w:type="even" r:id="rId9"/>
          <w:headerReference w:type="default" r:id="rId10"/>
          <w:footerReference w:type="even" r:id="rId11"/>
          <w:footerReference w:type="default" r:id="rId12"/>
          <w:headerReference w:type="first" r:id="rId13"/>
          <w:footerReference w:type="first" r:id="rId14"/>
          <w:pgSz w:w="11906" w:h="16838" w:code="9"/>
          <w:pgMar w:top="284" w:right="851" w:bottom="1418" w:left="851" w:header="510" w:footer="510" w:gutter="0"/>
          <w:cols w:space="708"/>
          <w:docGrid w:linePitch="360"/>
        </w:sectPr>
      </w:pPr>
    </w:p>
    <w:p w:rsidR="007173CA" w:rsidRDefault="00885E27" w:rsidP="007173CA">
      <w:pPr>
        <w:pStyle w:val="DHHSbody"/>
      </w:pPr>
      <w:r>
        <w:br w:type="textWrapping" w:clear="all"/>
      </w:r>
    </w:p>
    <w:p w:rsidR="007173CA" w:rsidRDefault="007173CA" w:rsidP="007173CA">
      <w:pPr>
        <w:pStyle w:val="DHHSbody"/>
        <w:sectPr w:rsidR="007173CA" w:rsidSect="00885E27">
          <w:headerReference w:type="even" r:id="rId15"/>
          <w:headerReference w:type="default" r:id="rId16"/>
          <w:footerReference w:type="default" r:id="rId17"/>
          <w:headerReference w:type="first" r:id="rId18"/>
          <w:type w:val="continuous"/>
          <w:pgSz w:w="11906" w:h="16838" w:code="9"/>
          <w:pgMar w:top="142" w:right="851" w:bottom="709" w:left="851" w:header="567" w:footer="510" w:gutter="0"/>
          <w:cols w:space="340"/>
          <w:titlePg/>
          <w:docGrid w:linePitch="360"/>
        </w:sectPr>
      </w:pPr>
      <w:bookmarkStart w:id="0" w:name="_Toc440566508"/>
    </w:p>
    <w:p w:rsidR="00CC7B04" w:rsidRPr="00BE4A64" w:rsidRDefault="00CC7B04" w:rsidP="00CC7B04">
      <w:pPr>
        <w:pStyle w:val="DHHSbody"/>
      </w:pPr>
      <w:bookmarkStart w:id="1" w:name="_Toc440566509"/>
      <w:bookmarkEnd w:id="0"/>
      <w:r>
        <w:lastRenderedPageBreak/>
        <w:t xml:space="preserve">On 14 December 2019, the Public Health and Wellbeing Regulations 2019 (the regulations) replaced the Public Health and Wellbeing Regulations 2009. This </w:t>
      </w:r>
      <w:r w:rsidRPr="00396F71">
        <w:t>information sheet provides</w:t>
      </w:r>
      <w:r>
        <w:t xml:space="preserve"> an overview of changes that relate to immunisation and exclusions.</w:t>
      </w:r>
    </w:p>
    <w:p w:rsidR="00816304" w:rsidRDefault="00816304" w:rsidP="009358AE">
      <w:pPr>
        <w:pStyle w:val="Heading2"/>
        <w:spacing w:before="360"/>
      </w:pPr>
      <w:r>
        <w:t xml:space="preserve">Why </w:t>
      </w:r>
      <w:r w:rsidR="002F2831">
        <w:t>regulate</w:t>
      </w:r>
      <w:r>
        <w:t xml:space="preserve"> </w:t>
      </w:r>
      <w:r w:rsidR="00582E8F">
        <w:t xml:space="preserve">exclusion periods in </w:t>
      </w:r>
      <w:r>
        <w:t xml:space="preserve">primary schools and </w:t>
      </w:r>
      <w:r w:rsidR="009B12FF">
        <w:t>children’s services</w:t>
      </w:r>
      <w:r>
        <w:t>?</w:t>
      </w:r>
    </w:p>
    <w:p w:rsidR="000B7B3E" w:rsidRDefault="000B7B3E" w:rsidP="00816304">
      <w:pPr>
        <w:pStyle w:val="DHHSbody"/>
      </w:pPr>
      <w:r>
        <w:t xml:space="preserve">Victoria regulates to prevent the spread of infectious disease by requiring some children to temporarily stop attending </w:t>
      </w:r>
      <w:r w:rsidR="009B12FF">
        <w:t>primary school and children’s services</w:t>
      </w:r>
      <w:r w:rsidR="00E03519">
        <w:rPr>
          <w:rStyle w:val="FootnoteReference"/>
        </w:rPr>
        <w:footnoteReference w:id="1"/>
      </w:r>
      <w:r w:rsidR="009B12FF">
        <w:t xml:space="preserve"> such as </w:t>
      </w:r>
      <w:r>
        <w:t>childcare</w:t>
      </w:r>
      <w:r w:rsidR="009B12FF">
        <w:t xml:space="preserve"> and </w:t>
      </w:r>
      <w:r>
        <w:t xml:space="preserve">kindergarten if their attendance will put them or others at risk of contracting or spreading </w:t>
      </w:r>
      <w:r w:rsidR="00253876">
        <w:t xml:space="preserve">an </w:t>
      </w:r>
      <w:r>
        <w:t>infectious disease.</w:t>
      </w:r>
    </w:p>
    <w:p w:rsidR="00816304" w:rsidRDefault="00962E25" w:rsidP="00816304">
      <w:pPr>
        <w:pStyle w:val="DHHSbody"/>
      </w:pPr>
      <w:r>
        <w:t xml:space="preserve">Primary schools and </w:t>
      </w:r>
      <w:r w:rsidR="004C2F8C">
        <w:t>children’s</w:t>
      </w:r>
      <w:r w:rsidR="00B562A4">
        <w:t xml:space="preserve"> services</w:t>
      </w:r>
      <w:r w:rsidR="00816304">
        <w:t xml:space="preserve"> </w:t>
      </w:r>
      <w:r w:rsidR="00823791">
        <w:t>are settings where there can be an increased risk</w:t>
      </w:r>
      <w:r w:rsidR="00816304">
        <w:t xml:space="preserve"> for </w:t>
      </w:r>
      <w:r w:rsidR="00823791">
        <w:t xml:space="preserve">transmission of </w:t>
      </w:r>
      <w:r w:rsidR="00816304">
        <w:t>certain infectious diseases</w:t>
      </w:r>
      <w:r>
        <w:t>.</w:t>
      </w:r>
    </w:p>
    <w:p w:rsidR="00F2586E" w:rsidRDefault="00F2586E" w:rsidP="00816304">
      <w:pPr>
        <w:pStyle w:val="DHHSbody"/>
      </w:pPr>
      <w:r>
        <w:t>Exclusion of children with particular infections (</w:t>
      </w:r>
      <w:r w:rsidR="002B43E0">
        <w:t xml:space="preserve">known as </w:t>
      </w:r>
      <w:r>
        <w:t>cases) is the most important way to reduce transmission of infectious disease in these setting</w:t>
      </w:r>
      <w:r w:rsidR="002B43E0">
        <w:t>s. In some limited circumstances, it is important to exclude children who have been exposed to particular infections (known as contacts).</w:t>
      </w:r>
    </w:p>
    <w:p w:rsidR="00962E25" w:rsidRDefault="003B2416" w:rsidP="009358AE">
      <w:pPr>
        <w:pStyle w:val="Heading2"/>
        <w:spacing w:before="360"/>
      </w:pPr>
      <w:r w:rsidRPr="00222099">
        <w:t>About the regulation</w:t>
      </w:r>
      <w:bookmarkEnd w:id="1"/>
      <w:r w:rsidR="00315641">
        <w:t>s</w:t>
      </w:r>
      <w:bookmarkStart w:id="2" w:name="_Hlk23403436"/>
      <w:r w:rsidR="00962E25">
        <w:t xml:space="preserve"> </w:t>
      </w:r>
    </w:p>
    <w:p w:rsidR="00E851D9" w:rsidRDefault="00BE4D1B" w:rsidP="003B2416">
      <w:pPr>
        <w:pStyle w:val="DHHSbody"/>
      </w:pPr>
      <w:bookmarkStart w:id="3" w:name="_Hlk25236138"/>
      <w:r>
        <w:t>Many</w:t>
      </w:r>
      <w:r w:rsidR="007F4FB4">
        <w:t xml:space="preserve"> requirements </w:t>
      </w:r>
      <w:r w:rsidR="00B31E06">
        <w:t xml:space="preserve">of these regulations </w:t>
      </w:r>
      <w:r>
        <w:t xml:space="preserve">will </w:t>
      </w:r>
      <w:r w:rsidR="007F4FB4">
        <w:t xml:space="preserve">remain unchanged. </w:t>
      </w:r>
      <w:bookmarkEnd w:id="3"/>
      <w:r w:rsidR="00823791">
        <w:t>A person</w:t>
      </w:r>
      <w:r w:rsidR="00E851D9">
        <w:t xml:space="preserve"> in charge of a primary school or child</w:t>
      </w:r>
      <w:r w:rsidR="00D34545">
        <w:t>ren’s</w:t>
      </w:r>
      <w:r w:rsidR="00E851D9">
        <w:t xml:space="preserve"> </w:t>
      </w:r>
      <w:r w:rsidR="00533CBB">
        <w:t>service</w:t>
      </w:r>
      <w:r w:rsidR="00E851D9">
        <w:t xml:space="preserve"> must not allow </w:t>
      </w:r>
      <w:r w:rsidR="00823791">
        <w:t xml:space="preserve">a </w:t>
      </w:r>
      <w:r w:rsidR="00E851D9">
        <w:t xml:space="preserve">child to attend the facility </w:t>
      </w:r>
      <w:r w:rsidR="00011CF3">
        <w:t>in accordance with</w:t>
      </w:r>
      <w:r w:rsidR="007F4FB4">
        <w:t xml:space="preserve"> the regulations</w:t>
      </w:r>
      <w:r w:rsidR="00E851D9">
        <w:t>:</w:t>
      </w:r>
    </w:p>
    <w:p w:rsidR="00E851D9" w:rsidRDefault="00E851D9" w:rsidP="00E851D9">
      <w:pPr>
        <w:pStyle w:val="DHHSbullet1"/>
      </w:pPr>
      <w:r w:rsidRPr="00A83C2A">
        <w:t>if they have been informed th</w:t>
      </w:r>
      <w:r w:rsidR="00D34545">
        <w:t>e</w:t>
      </w:r>
      <w:r w:rsidRPr="00A83C2A">
        <w:t xml:space="preserve"> child is infected with an infectious disease</w:t>
      </w:r>
      <w:r w:rsidR="008B7296">
        <w:t xml:space="preserve">/condition </w:t>
      </w:r>
      <w:r w:rsidR="007F4FB4">
        <w:t>listed in the regulations</w:t>
      </w:r>
    </w:p>
    <w:p w:rsidR="00E713C7" w:rsidRPr="00A83C2A" w:rsidRDefault="008B7296" w:rsidP="00E713C7">
      <w:pPr>
        <w:pStyle w:val="DHHSbullet1"/>
        <w:spacing w:after="120"/>
      </w:pPr>
      <w:r>
        <w:t>if</w:t>
      </w:r>
      <w:r w:rsidRPr="00A83C2A">
        <w:t xml:space="preserve"> they have been informed the child has been in contact with a person who is infected with an infectious disease/condition </w:t>
      </w:r>
      <w:r>
        <w:t>listed in the regulations</w:t>
      </w:r>
      <w:r w:rsidR="00E713C7">
        <w:t>.</w:t>
      </w:r>
    </w:p>
    <w:p w:rsidR="004D2827" w:rsidRDefault="00B31AEF" w:rsidP="002F2831">
      <w:pPr>
        <w:pStyle w:val="DHHSbullet1"/>
        <w:numPr>
          <w:ilvl w:val="0"/>
          <w:numId w:val="0"/>
        </w:numPr>
        <w:spacing w:after="120"/>
      </w:pPr>
      <w:r>
        <w:lastRenderedPageBreak/>
        <w:t>A p</w:t>
      </w:r>
      <w:r w:rsidR="004D2827" w:rsidRPr="00F2586E">
        <w:t xml:space="preserve">arent </w:t>
      </w:r>
      <w:r>
        <w:t>or</w:t>
      </w:r>
      <w:r w:rsidR="004D2827" w:rsidRPr="00F2586E">
        <w:t xml:space="preserve"> guardian must also inform the </w:t>
      </w:r>
      <w:r w:rsidR="00D34545">
        <w:t xml:space="preserve">person in charge of the </w:t>
      </w:r>
      <w:r w:rsidR="004D2827" w:rsidRPr="00F2586E">
        <w:t>primary school or child</w:t>
      </w:r>
      <w:r w:rsidR="00D34545">
        <w:t>ren’s</w:t>
      </w:r>
      <w:r w:rsidR="004D2827" w:rsidRPr="00F2586E">
        <w:t xml:space="preserve"> </w:t>
      </w:r>
      <w:r w:rsidR="00CA52E0">
        <w:t>service</w:t>
      </w:r>
      <w:r w:rsidR="004D2827" w:rsidRPr="00F2586E">
        <w:t xml:space="preserve"> </w:t>
      </w:r>
      <w:r w:rsidR="00D34545">
        <w:t>the</w:t>
      </w:r>
      <w:r w:rsidR="006F3982">
        <w:t>ir</w:t>
      </w:r>
      <w:r w:rsidR="00D34545">
        <w:t xml:space="preserve"> child attends </w:t>
      </w:r>
      <w:r w:rsidR="00D75DB9">
        <w:t>if the child is infected with</w:t>
      </w:r>
      <w:r w:rsidR="00D75DB9" w:rsidRPr="00D75DB9">
        <w:t xml:space="preserve"> </w:t>
      </w:r>
      <w:r w:rsidR="00D75DB9" w:rsidRPr="00A83C2A">
        <w:t>an infectious disease</w:t>
      </w:r>
      <w:r w:rsidR="00F3140C">
        <w:t>/condition</w:t>
      </w:r>
      <w:r w:rsidR="00D75DB9" w:rsidRPr="00A83C2A">
        <w:t xml:space="preserve"> </w:t>
      </w:r>
      <w:r w:rsidR="00D75DB9">
        <w:t>listed in the regulations</w:t>
      </w:r>
      <w:r w:rsidR="004D2827" w:rsidRPr="00F2586E">
        <w:t>.</w:t>
      </w:r>
    </w:p>
    <w:p w:rsidR="004D2827" w:rsidRDefault="00962E25" w:rsidP="003B2416">
      <w:pPr>
        <w:pStyle w:val="DHHSbody"/>
        <w:rPr>
          <w:rFonts w:eastAsiaTheme="minorHAnsi"/>
          <w:lang w:eastAsia="en-AU"/>
        </w:rPr>
      </w:pPr>
      <w:r>
        <w:rPr>
          <w:rFonts w:eastAsiaTheme="minorHAnsi"/>
          <w:lang w:eastAsia="en-AU"/>
        </w:rPr>
        <w:t>A</w:t>
      </w:r>
      <w:r w:rsidR="00823791">
        <w:rPr>
          <w:rFonts w:eastAsiaTheme="minorHAnsi"/>
          <w:lang w:eastAsia="en-AU"/>
        </w:rPr>
        <w:t xml:space="preserve"> person </w:t>
      </w:r>
      <w:r w:rsidR="003B2416">
        <w:rPr>
          <w:rFonts w:eastAsiaTheme="minorHAnsi"/>
          <w:lang w:eastAsia="en-AU"/>
        </w:rPr>
        <w:t>in charge of a primary school must</w:t>
      </w:r>
      <w:r>
        <w:rPr>
          <w:rFonts w:eastAsiaTheme="minorHAnsi"/>
          <w:lang w:eastAsia="en-AU"/>
        </w:rPr>
        <w:t xml:space="preserve"> also</w:t>
      </w:r>
      <w:r w:rsidR="003B2416">
        <w:rPr>
          <w:rFonts w:eastAsiaTheme="minorHAnsi"/>
          <w:lang w:eastAsia="en-AU"/>
        </w:rPr>
        <w:t xml:space="preserve"> keep </w:t>
      </w:r>
      <w:r w:rsidR="004D2827">
        <w:rPr>
          <w:rFonts w:eastAsiaTheme="minorHAnsi"/>
          <w:lang w:eastAsia="en-AU"/>
        </w:rPr>
        <w:t xml:space="preserve">a record of </w:t>
      </w:r>
      <w:r w:rsidR="003B2416">
        <w:rPr>
          <w:rFonts w:eastAsiaTheme="minorHAnsi"/>
          <w:lang w:eastAsia="en-AU"/>
        </w:rPr>
        <w:t xml:space="preserve">immunisation </w:t>
      </w:r>
      <w:r w:rsidR="004D2827">
        <w:rPr>
          <w:rFonts w:eastAsiaTheme="minorHAnsi"/>
          <w:lang w:eastAsia="en-AU"/>
        </w:rPr>
        <w:t>certificates</w:t>
      </w:r>
      <w:r w:rsidR="003B2416">
        <w:rPr>
          <w:rFonts w:eastAsiaTheme="minorHAnsi"/>
          <w:lang w:eastAsia="en-AU"/>
        </w:rPr>
        <w:t xml:space="preserve"> </w:t>
      </w:r>
      <w:r w:rsidR="00823791">
        <w:rPr>
          <w:rFonts w:eastAsiaTheme="minorHAnsi"/>
          <w:lang w:eastAsia="en-AU"/>
        </w:rPr>
        <w:t xml:space="preserve">for all children at the primary school </w:t>
      </w:r>
      <w:r w:rsidR="003B2416">
        <w:rPr>
          <w:rFonts w:eastAsiaTheme="minorHAnsi"/>
          <w:lang w:eastAsia="en-AU"/>
        </w:rPr>
        <w:t xml:space="preserve">and </w:t>
      </w:r>
      <w:r w:rsidR="004D2827">
        <w:rPr>
          <w:rFonts w:eastAsiaTheme="minorHAnsi"/>
          <w:lang w:eastAsia="en-AU"/>
        </w:rPr>
        <w:t>must</w:t>
      </w:r>
      <w:r w:rsidR="00011CF3">
        <w:rPr>
          <w:rFonts w:eastAsiaTheme="minorHAnsi"/>
          <w:lang w:eastAsia="en-AU"/>
        </w:rPr>
        <w:t xml:space="preserve"> </w:t>
      </w:r>
      <w:r w:rsidR="00083FF5">
        <w:rPr>
          <w:rFonts w:eastAsiaTheme="minorHAnsi"/>
          <w:lang w:eastAsia="en-AU"/>
        </w:rPr>
        <w:t>allow</w:t>
      </w:r>
      <w:r w:rsidR="003B2416">
        <w:rPr>
          <w:rFonts w:eastAsiaTheme="minorHAnsi"/>
          <w:lang w:eastAsia="en-AU"/>
        </w:rPr>
        <w:t xml:space="preserve"> authorised officers access to immunisation </w:t>
      </w:r>
      <w:r w:rsidR="004D2827">
        <w:rPr>
          <w:rFonts w:eastAsiaTheme="minorHAnsi"/>
          <w:lang w:eastAsia="en-AU"/>
        </w:rPr>
        <w:t>certificates</w:t>
      </w:r>
      <w:r w:rsidR="00011CF3">
        <w:rPr>
          <w:rFonts w:eastAsiaTheme="minorHAnsi"/>
          <w:lang w:eastAsia="en-AU"/>
        </w:rPr>
        <w:t xml:space="preserve">. </w:t>
      </w:r>
    </w:p>
    <w:p w:rsidR="009E1E84" w:rsidRPr="00EB771A" w:rsidRDefault="009E1E84" w:rsidP="003B2416">
      <w:pPr>
        <w:pStyle w:val="DHHSbody"/>
        <w:rPr>
          <w:rFonts w:eastAsiaTheme="minorHAnsi"/>
          <w:lang w:eastAsia="en-AU"/>
        </w:rPr>
      </w:pPr>
      <w:r>
        <w:rPr>
          <w:rFonts w:eastAsiaTheme="minorHAnsi"/>
          <w:lang w:eastAsia="en-AU"/>
        </w:rPr>
        <w:t>For the purposes of immunisation co-ordination</w:t>
      </w:r>
      <w:r w:rsidR="00CD31C7">
        <w:rPr>
          <w:rFonts w:eastAsiaTheme="minorHAnsi"/>
          <w:lang w:eastAsia="en-AU"/>
        </w:rPr>
        <w:t xml:space="preserve"> and services</w:t>
      </w:r>
      <w:r>
        <w:rPr>
          <w:rFonts w:eastAsiaTheme="minorHAnsi"/>
          <w:lang w:eastAsia="en-AU"/>
        </w:rPr>
        <w:t xml:space="preserve">, a person in charge of a secondary school may </w:t>
      </w:r>
      <w:r w:rsidR="00CD31C7">
        <w:rPr>
          <w:rFonts w:eastAsiaTheme="minorHAnsi"/>
          <w:lang w:eastAsia="en-AU"/>
        </w:rPr>
        <w:t>disclose</w:t>
      </w:r>
      <w:r>
        <w:rPr>
          <w:rFonts w:eastAsiaTheme="minorHAnsi"/>
          <w:lang w:eastAsia="en-AU"/>
        </w:rPr>
        <w:t xml:space="preserve"> certain </w:t>
      </w:r>
      <w:r w:rsidR="00CD31C7">
        <w:rPr>
          <w:rFonts w:eastAsiaTheme="minorHAnsi"/>
          <w:lang w:eastAsia="en-AU"/>
        </w:rPr>
        <w:t xml:space="preserve">student </w:t>
      </w:r>
      <w:r>
        <w:rPr>
          <w:rFonts w:eastAsiaTheme="minorHAnsi"/>
          <w:lang w:eastAsia="en-AU"/>
        </w:rPr>
        <w:t>information to a council upon request.</w:t>
      </w:r>
    </w:p>
    <w:bookmarkEnd w:id="2"/>
    <w:p w:rsidR="003B2416" w:rsidRPr="003B2416" w:rsidRDefault="003953BD" w:rsidP="009358AE">
      <w:pPr>
        <w:pStyle w:val="Heading2"/>
        <w:spacing w:before="360"/>
      </w:pPr>
      <w:r>
        <w:t>What has change</w:t>
      </w:r>
      <w:r w:rsidR="00F71189">
        <w:t>d</w:t>
      </w:r>
      <w:r>
        <w:t xml:space="preserve"> in the regulations?</w:t>
      </w:r>
    </w:p>
    <w:p w:rsidR="000D6AF4" w:rsidRDefault="000B7B3E" w:rsidP="000D6AF4">
      <w:pPr>
        <w:pStyle w:val="DHHSbullet1"/>
        <w:numPr>
          <w:ilvl w:val="0"/>
          <w:numId w:val="0"/>
        </w:numPr>
      </w:pPr>
      <w:r>
        <w:t xml:space="preserve">Some aspects of the regulations have been amended to improve the public health response to outbreaks in these settings. </w:t>
      </w:r>
      <w:r w:rsidR="000D6AF4">
        <w:t>The following minor changes improve and strengthen the regulations</w:t>
      </w:r>
      <w:r w:rsidR="000B246E">
        <w:t>:</w:t>
      </w:r>
    </w:p>
    <w:p w:rsidR="003953BD" w:rsidRPr="003953BD" w:rsidRDefault="000D7C20" w:rsidP="000D7C20">
      <w:pPr>
        <w:pStyle w:val="DHHSbullet1"/>
      </w:pPr>
      <w:r>
        <w:t>Updat</w:t>
      </w:r>
      <w:r w:rsidR="007F4FB4">
        <w:t>e</w:t>
      </w:r>
      <w:r w:rsidR="00253876">
        <w:t>d</w:t>
      </w:r>
      <w:r w:rsidR="000D6AF4">
        <w:t xml:space="preserve"> </w:t>
      </w:r>
      <w:r>
        <w:t xml:space="preserve">diseases and exclusion periods listed in the </w:t>
      </w:r>
      <w:r w:rsidRPr="000D7C20">
        <w:t>regulations</w:t>
      </w:r>
      <w:r>
        <w:t xml:space="preserve"> </w:t>
      </w:r>
      <w:r w:rsidR="000D6AF4">
        <w:t>to align with current evidence regarding infection control, reflect current</w:t>
      </w:r>
      <w:r w:rsidR="00486F63">
        <w:t xml:space="preserve"> terminology</w:t>
      </w:r>
      <w:r w:rsidR="000D6AF4">
        <w:t>, or clarify requirements. Specifically, the amendments</w:t>
      </w:r>
      <w:r w:rsidR="003953BD" w:rsidRPr="003953BD">
        <w:t>:</w:t>
      </w:r>
    </w:p>
    <w:p w:rsidR="003953BD" w:rsidRPr="003953BD" w:rsidRDefault="003953BD" w:rsidP="003953BD">
      <w:pPr>
        <w:pStyle w:val="DHHSbullet2"/>
      </w:pPr>
      <w:r w:rsidRPr="003953BD">
        <w:t>reduc</w:t>
      </w:r>
      <w:r w:rsidR="00FE0E52">
        <w:t>e</w:t>
      </w:r>
      <w:r w:rsidRPr="003953BD">
        <w:t xml:space="preserve"> the exclusion period for mumps from nine to five days</w:t>
      </w:r>
    </w:p>
    <w:p w:rsidR="003953BD" w:rsidRPr="003953BD" w:rsidRDefault="003953BD" w:rsidP="003953BD">
      <w:pPr>
        <w:pStyle w:val="DHHSbullet2"/>
      </w:pPr>
      <w:r>
        <w:t xml:space="preserve">add </w:t>
      </w:r>
      <w:r w:rsidRPr="003953BD">
        <w:t xml:space="preserve">cytomegalovirus (CMV) infections, glandular fever (Epstein-Barr virus infections) and molluscum contagiosum to the </w:t>
      </w:r>
      <w:r w:rsidR="004F61A3">
        <w:t>table/</w:t>
      </w:r>
      <w:r w:rsidRPr="003953BD">
        <w:t xml:space="preserve">list of excludable diseases </w:t>
      </w:r>
      <w:r w:rsidR="004F61A3">
        <w:t>in order to emphasise</w:t>
      </w:r>
      <w:r w:rsidRPr="003953BD">
        <w:t xml:space="preserve"> that exclusion is </w:t>
      </w:r>
      <w:r w:rsidRPr="007929FD">
        <w:rPr>
          <w:u w:val="single"/>
        </w:rPr>
        <w:t>not</w:t>
      </w:r>
      <w:r w:rsidRPr="003953BD">
        <w:t xml:space="preserve"> necessary</w:t>
      </w:r>
    </w:p>
    <w:p w:rsidR="003953BD" w:rsidRPr="003953BD" w:rsidRDefault="003953BD" w:rsidP="003953BD">
      <w:pPr>
        <w:pStyle w:val="DHHSbullet2"/>
      </w:pPr>
      <w:r w:rsidRPr="003953BD">
        <w:t>amend the exclusion period for</w:t>
      </w:r>
      <w:r w:rsidRPr="007929FD">
        <w:rPr>
          <w:i/>
        </w:rPr>
        <w:t xml:space="preserve"> Haemophilus influenza</w:t>
      </w:r>
      <w:r w:rsidRPr="003953BD">
        <w:t xml:space="preserve"> type B from four days to 48 hours after initiation of effective therapy</w:t>
      </w:r>
    </w:p>
    <w:p w:rsidR="003953BD" w:rsidRDefault="003953BD" w:rsidP="003953BD">
      <w:pPr>
        <w:pStyle w:val="DHHSbullet2"/>
      </w:pPr>
      <w:r w:rsidRPr="003953BD">
        <w:t>updat</w:t>
      </w:r>
      <w:r w:rsidR="00FE0E52">
        <w:t>e</w:t>
      </w:r>
      <w:r w:rsidRPr="003953BD">
        <w:t xml:space="preserve"> HIV/AIDS to HIV</w:t>
      </w:r>
    </w:p>
    <w:p w:rsidR="00E71295" w:rsidRPr="003953BD" w:rsidRDefault="00E71295" w:rsidP="00E71295">
      <w:pPr>
        <w:pStyle w:val="DHHSbullet2"/>
        <w:numPr>
          <w:ilvl w:val="0"/>
          <w:numId w:val="0"/>
        </w:numPr>
        <w:ind w:left="567"/>
      </w:pPr>
    </w:p>
    <w:p w:rsidR="003953BD" w:rsidRDefault="003953BD" w:rsidP="003953BD">
      <w:pPr>
        <w:pStyle w:val="DHHSbullet2"/>
      </w:pPr>
      <w:r w:rsidRPr="003953BD">
        <w:t>consolidat</w:t>
      </w:r>
      <w:r w:rsidR="00271177">
        <w:t>e</w:t>
      </w:r>
      <w:r w:rsidRPr="003953BD">
        <w:t xml:space="preserve"> </w:t>
      </w:r>
      <w:r w:rsidR="007A2FB9">
        <w:t>and includ</w:t>
      </w:r>
      <w:r w:rsidR="00271177">
        <w:t>e</w:t>
      </w:r>
      <w:r w:rsidR="007A2FB9">
        <w:t xml:space="preserve"> </w:t>
      </w:r>
      <w:r w:rsidR="00CC01BC">
        <w:t>common</w:t>
      </w:r>
      <w:r w:rsidRPr="003953BD">
        <w:t xml:space="preserve"> causes of diarrhoea into one condition referred to as </w:t>
      </w:r>
      <w:r w:rsidR="00A83C2A">
        <w:t>‘diarrhoeal</w:t>
      </w:r>
      <w:r w:rsidRPr="003953BD">
        <w:t xml:space="preserve"> illness</w:t>
      </w:r>
      <w:r w:rsidR="00A83C2A">
        <w:t>’</w:t>
      </w:r>
      <w:r w:rsidRPr="003953BD">
        <w:t xml:space="preserve">, with an exclusion period of </w:t>
      </w:r>
      <w:r w:rsidR="00D50690">
        <w:t>24</w:t>
      </w:r>
      <w:r w:rsidRPr="003953BD">
        <w:t xml:space="preserve"> </w:t>
      </w:r>
      <w:r w:rsidRPr="003953BD">
        <w:lastRenderedPageBreak/>
        <w:t>hours from the last loose bowel motion</w:t>
      </w:r>
      <w:r w:rsidR="00D50690">
        <w:t xml:space="preserve"> or vomiting</w:t>
      </w:r>
    </w:p>
    <w:p w:rsidR="00A62D44" w:rsidRDefault="003953BD" w:rsidP="00CC01BC">
      <w:pPr>
        <w:pStyle w:val="DHHSbullet2lastline"/>
        <w:spacing w:after="0"/>
        <w:ind w:left="568" w:hanging="284"/>
      </w:pPr>
      <w:r w:rsidRPr="003953BD">
        <w:t xml:space="preserve">clarify that a child should not be excluded if they have latent </w:t>
      </w:r>
      <w:r w:rsidRPr="00486F63">
        <w:t>tuberculosis.</w:t>
      </w:r>
    </w:p>
    <w:p w:rsidR="00F2586E" w:rsidRDefault="003953BD" w:rsidP="002F2831">
      <w:pPr>
        <w:pStyle w:val="DHHSbullet1"/>
      </w:pPr>
      <w:r w:rsidRPr="00406CE3">
        <w:t>Remov</w:t>
      </w:r>
      <w:r w:rsidR="005124D4">
        <w:t>ing</w:t>
      </w:r>
      <w:r w:rsidRPr="00406CE3">
        <w:t xml:space="preserve"> the duty of a person in charge of a primary school or child</w:t>
      </w:r>
      <w:r w:rsidR="00D34545">
        <w:t>ren’s</w:t>
      </w:r>
      <w:r w:rsidR="00A83C2A">
        <w:t xml:space="preserve"> </w:t>
      </w:r>
      <w:r w:rsidR="00CA52E0">
        <w:t>service</w:t>
      </w:r>
      <w:r w:rsidR="00A83C2A">
        <w:t xml:space="preserve"> </w:t>
      </w:r>
      <w:r w:rsidRPr="00406CE3">
        <w:t xml:space="preserve">to notify </w:t>
      </w:r>
      <w:r w:rsidR="000B246E">
        <w:t xml:space="preserve">the Department of Health and Human Services </w:t>
      </w:r>
      <w:r w:rsidRPr="00406CE3">
        <w:t>about a</w:t>
      </w:r>
      <w:r w:rsidR="00F71189">
        <w:t xml:space="preserve"> </w:t>
      </w:r>
      <w:r w:rsidR="00F71189" w:rsidRPr="004E65A8">
        <w:t>child ill from pertussis</w:t>
      </w:r>
      <w:r w:rsidR="00F71189">
        <w:t>, poliomyelitis, measles, mumps, rubella or meningococcal C</w:t>
      </w:r>
      <w:r w:rsidR="00D34545">
        <w:t>.</w:t>
      </w:r>
    </w:p>
    <w:p w:rsidR="003953BD" w:rsidRPr="0011412D" w:rsidRDefault="003953BD" w:rsidP="003953BD">
      <w:pPr>
        <w:pStyle w:val="DHHSbullet1"/>
      </w:pPr>
      <w:r>
        <w:t>Introduc</w:t>
      </w:r>
      <w:r w:rsidR="00271177">
        <w:t>ing</w:t>
      </w:r>
      <w:r>
        <w:t xml:space="preserve"> </w:t>
      </w:r>
      <w:r w:rsidR="004B4D57">
        <w:t xml:space="preserve">an </w:t>
      </w:r>
      <w:r>
        <w:t>infringement penalty for failure to exclude a</w:t>
      </w:r>
      <w:r w:rsidR="00F71189">
        <w:t xml:space="preserve"> child </w:t>
      </w:r>
      <w:r w:rsidR="0011412D">
        <w:t>with, or exposed to, a specified infectious disease from a primary school or children’s service in accordance with the regulations</w:t>
      </w:r>
      <w:r w:rsidR="009D4D0A">
        <w:t xml:space="preserve"> (only applicable to a person in charge of a primary school or children’s service)</w:t>
      </w:r>
      <w:r w:rsidR="0011412D">
        <w:t>.</w:t>
      </w:r>
    </w:p>
    <w:p w:rsidR="003953BD" w:rsidRPr="00213011" w:rsidRDefault="00F71189" w:rsidP="003953BD">
      <w:pPr>
        <w:pStyle w:val="DHHSbullet1"/>
      </w:pPr>
      <w:r w:rsidRPr="00213011">
        <w:t>Empower</w:t>
      </w:r>
      <w:r w:rsidR="00253876">
        <w:t>ing</w:t>
      </w:r>
      <w:r w:rsidRPr="00213011">
        <w:t xml:space="preserve"> the </w:t>
      </w:r>
      <w:r w:rsidR="003953BD" w:rsidRPr="00213011">
        <w:t>Chief Health Officer</w:t>
      </w:r>
      <w:r w:rsidRPr="00213011">
        <w:t xml:space="preserve"> to </w:t>
      </w:r>
      <w:r w:rsidR="003953BD" w:rsidRPr="00213011">
        <w:t>direc</w:t>
      </w:r>
      <w:r w:rsidR="003953BD" w:rsidRPr="00F2586E">
        <w:t xml:space="preserve">t </w:t>
      </w:r>
      <w:r w:rsidR="007929FD" w:rsidRPr="002D12B2">
        <w:t xml:space="preserve">a </w:t>
      </w:r>
      <w:r w:rsidR="002B43E0" w:rsidRPr="002B43E0">
        <w:t>person</w:t>
      </w:r>
      <w:r w:rsidR="002B43E0">
        <w:t xml:space="preserve"> </w:t>
      </w:r>
      <w:r w:rsidR="002B43E0" w:rsidRPr="00213011">
        <w:t>in</w:t>
      </w:r>
      <w:r w:rsidR="00B736D1" w:rsidRPr="00213011">
        <w:t xml:space="preserve"> charge of a</w:t>
      </w:r>
      <w:r w:rsidR="003953BD" w:rsidRPr="00213011">
        <w:t xml:space="preserve"> </w:t>
      </w:r>
      <w:r w:rsidR="00083FF5" w:rsidRPr="00213011">
        <w:t xml:space="preserve">primary </w:t>
      </w:r>
      <w:r w:rsidR="003953BD" w:rsidRPr="00213011">
        <w:t>school or child</w:t>
      </w:r>
      <w:r w:rsidR="0011412D">
        <w:t>ren’s</w:t>
      </w:r>
      <w:r w:rsidR="003953BD" w:rsidRPr="00213011">
        <w:t xml:space="preserve"> </w:t>
      </w:r>
      <w:r w:rsidR="00CA52E0">
        <w:t>service</w:t>
      </w:r>
      <w:r w:rsidR="003953BD" w:rsidRPr="00213011">
        <w:t xml:space="preserve"> to exclude a child based on a material risk </w:t>
      </w:r>
      <w:r w:rsidR="00D15532">
        <w:t xml:space="preserve">(substantial risk of harm) </w:t>
      </w:r>
      <w:r w:rsidR="003953BD" w:rsidRPr="00213011">
        <w:t>of a child contracting a vaccine-preventable disease. To determine whether a child is at material risk, the C</w:t>
      </w:r>
      <w:r w:rsidR="005D310D">
        <w:t>hief Health Officer</w:t>
      </w:r>
      <w:r w:rsidR="003953BD" w:rsidRPr="00213011">
        <w:t xml:space="preserve"> may have regard to the:</w:t>
      </w:r>
    </w:p>
    <w:p w:rsidR="003953BD" w:rsidRPr="00213011" w:rsidRDefault="003953BD" w:rsidP="000F2877">
      <w:pPr>
        <w:pStyle w:val="DHHSbullet2lastline"/>
        <w:spacing w:after="0"/>
        <w:ind w:left="568" w:hanging="284"/>
      </w:pPr>
      <w:r w:rsidRPr="00213011">
        <w:t>child’s documented immunity and immunisation status</w:t>
      </w:r>
    </w:p>
    <w:p w:rsidR="003953BD" w:rsidRPr="00213011" w:rsidRDefault="003953BD" w:rsidP="000F2877">
      <w:pPr>
        <w:pStyle w:val="DHHSbullet2lastline"/>
        <w:spacing w:after="0"/>
        <w:ind w:left="568" w:hanging="284"/>
      </w:pPr>
      <w:r w:rsidRPr="00213011">
        <w:t>risk of the child contracting a vaccine-preventable disease</w:t>
      </w:r>
    </w:p>
    <w:p w:rsidR="003953BD" w:rsidRPr="00213011" w:rsidRDefault="003953BD" w:rsidP="000F2877">
      <w:pPr>
        <w:pStyle w:val="DHHSbullet2lastline"/>
        <w:spacing w:after="0"/>
        <w:ind w:left="568" w:hanging="284"/>
      </w:pPr>
      <w:r w:rsidRPr="00213011">
        <w:t>severity of illness if the child w</w:t>
      </w:r>
      <w:r w:rsidR="00D15532">
        <w:t>ere</w:t>
      </w:r>
      <w:r w:rsidRPr="00213011">
        <w:t xml:space="preserve"> to contract a vaccine-preventable disease.</w:t>
      </w:r>
    </w:p>
    <w:p w:rsidR="00E071A5" w:rsidRDefault="00E071A5" w:rsidP="000F2877">
      <w:pPr>
        <w:pStyle w:val="DHHSbullet2lastline"/>
        <w:numPr>
          <w:ilvl w:val="0"/>
          <w:numId w:val="0"/>
        </w:numPr>
        <w:spacing w:before="120"/>
      </w:pPr>
      <w:bookmarkStart w:id="4" w:name="_Toc256778633"/>
      <w:r>
        <w:t xml:space="preserve">Please see </w:t>
      </w:r>
      <w:r w:rsidRPr="00C23D88">
        <w:rPr>
          <w:b/>
        </w:rPr>
        <w:t>Appendix 1</w:t>
      </w:r>
      <w:r>
        <w:t xml:space="preserve"> for an extract of </w:t>
      </w:r>
      <w:r w:rsidR="005F1196">
        <w:t xml:space="preserve">Schedule 7 </w:t>
      </w:r>
      <w:r w:rsidR="00156B74">
        <w:t>in the regulations, which highlights changes to m</w:t>
      </w:r>
      <w:r w:rsidR="00C23D88">
        <w:t>inimum</w:t>
      </w:r>
      <w:r>
        <w:t xml:space="preserve"> exclusion periods</w:t>
      </w:r>
      <w:r w:rsidR="00156B74">
        <w:t>.</w:t>
      </w:r>
    </w:p>
    <w:p w:rsidR="00BC7ED7" w:rsidRPr="0047372D" w:rsidRDefault="00F71189" w:rsidP="009358AE">
      <w:pPr>
        <w:pStyle w:val="Heading2"/>
        <w:spacing w:before="360"/>
      </w:pPr>
      <w:r>
        <w:t>Why have these changes been made</w:t>
      </w:r>
      <w:bookmarkEnd w:id="4"/>
      <w:r>
        <w:t>?</w:t>
      </w:r>
    </w:p>
    <w:p w:rsidR="00525958" w:rsidRDefault="00F71189" w:rsidP="00F71189">
      <w:pPr>
        <w:pStyle w:val="DHHSbody"/>
      </w:pPr>
      <w:r>
        <w:t>The changes</w:t>
      </w:r>
      <w:r w:rsidR="006D3156">
        <w:t xml:space="preserve"> strengthen existing requirements </w:t>
      </w:r>
      <w:r w:rsidR="004B4D57">
        <w:t xml:space="preserve">intended </w:t>
      </w:r>
      <w:r>
        <w:t xml:space="preserve">to prevent the spread of infectious diseases </w:t>
      </w:r>
      <w:r w:rsidR="006D3156">
        <w:t xml:space="preserve">among children </w:t>
      </w:r>
      <w:r w:rsidR="007445EB">
        <w:t xml:space="preserve">and </w:t>
      </w:r>
      <w:r w:rsidR="004B4D57">
        <w:t>will also improve the response to</w:t>
      </w:r>
      <w:r w:rsidR="007445EB">
        <w:t xml:space="preserve"> outbreaks </w:t>
      </w:r>
      <w:r>
        <w:t xml:space="preserve">in </w:t>
      </w:r>
      <w:r w:rsidR="007445EB">
        <w:t>primary schools and child</w:t>
      </w:r>
      <w:r w:rsidR="0011412D">
        <w:t>ren’s</w:t>
      </w:r>
      <w:r w:rsidR="007445EB">
        <w:t xml:space="preserve"> </w:t>
      </w:r>
      <w:r w:rsidR="00CA52E0">
        <w:t>services</w:t>
      </w:r>
      <w:r w:rsidR="006D3156">
        <w:t xml:space="preserve">. Changes to exclusion periods align with emerging evidence </w:t>
      </w:r>
      <w:r w:rsidR="007445EB">
        <w:t xml:space="preserve">relating to their risk. </w:t>
      </w:r>
    </w:p>
    <w:p w:rsidR="00701ADF" w:rsidRDefault="007445EB" w:rsidP="00F71189">
      <w:pPr>
        <w:pStyle w:val="DHHSbody"/>
      </w:pPr>
      <w:r>
        <w:t xml:space="preserve">Removing the </w:t>
      </w:r>
      <w:r w:rsidR="00B736D1">
        <w:t>duty</w:t>
      </w:r>
      <w:r>
        <w:t xml:space="preserve"> of a person </w:t>
      </w:r>
      <w:r w:rsidR="001731CD">
        <w:t xml:space="preserve">in </w:t>
      </w:r>
      <w:r>
        <w:t>charge of a primary school or child</w:t>
      </w:r>
      <w:r w:rsidR="0011412D">
        <w:t>ren’s</w:t>
      </w:r>
      <w:r>
        <w:t xml:space="preserve"> </w:t>
      </w:r>
      <w:r w:rsidR="00CA52E0">
        <w:t>service</w:t>
      </w:r>
      <w:r>
        <w:t xml:space="preserve"> to notify the department about a </w:t>
      </w:r>
      <w:r w:rsidRPr="004E65A8">
        <w:t>child ill</w:t>
      </w:r>
      <w:r>
        <w:t xml:space="preserve"> from certain infectious diseases </w:t>
      </w:r>
      <w:r w:rsidR="004B4D57">
        <w:t xml:space="preserve">will </w:t>
      </w:r>
      <w:r w:rsidR="000D7C20">
        <w:t xml:space="preserve">reduce regulatory burden for the person in charge and </w:t>
      </w:r>
      <w:r>
        <w:t xml:space="preserve">avoid multiple </w:t>
      </w:r>
      <w:r w:rsidR="000D7C20">
        <w:t xml:space="preserve">processing of </w:t>
      </w:r>
      <w:r>
        <w:t>notifications about the same case</w:t>
      </w:r>
      <w:r w:rsidR="004B4D57">
        <w:t>.</w:t>
      </w:r>
    </w:p>
    <w:p w:rsidR="00FF4883" w:rsidRDefault="00525958" w:rsidP="00FF4883">
      <w:pPr>
        <w:pStyle w:val="DHHSbody"/>
      </w:pPr>
      <w:r>
        <w:lastRenderedPageBreak/>
        <w:t xml:space="preserve">The introduction of an infringement penalty for </w:t>
      </w:r>
      <w:r w:rsidR="00F2586E">
        <w:t>a person in charge of a primary school or child</w:t>
      </w:r>
      <w:r w:rsidR="0011412D">
        <w:t xml:space="preserve">ren’s </w:t>
      </w:r>
      <w:r w:rsidR="00A67213">
        <w:t>service</w:t>
      </w:r>
      <w:r w:rsidR="00F2586E">
        <w:t xml:space="preserve"> who </w:t>
      </w:r>
      <w:r>
        <w:t>fail</w:t>
      </w:r>
      <w:r w:rsidR="00F2586E">
        <w:t>s</w:t>
      </w:r>
      <w:r>
        <w:t xml:space="preserve"> to exclude a child with, or exposed to, a </w:t>
      </w:r>
      <w:r w:rsidR="00486F63">
        <w:t>specified</w:t>
      </w:r>
      <w:r>
        <w:t xml:space="preserve"> infectious disease in accordance with </w:t>
      </w:r>
      <w:r w:rsidR="006A6558">
        <w:t xml:space="preserve">the regulations </w:t>
      </w:r>
      <w:r w:rsidR="00FF4883">
        <w:t xml:space="preserve">supports action to prevent the further transmission </w:t>
      </w:r>
      <w:r w:rsidR="001731CD">
        <w:t>o</w:t>
      </w:r>
      <w:r w:rsidR="00FF4883">
        <w:t>f</w:t>
      </w:r>
      <w:r w:rsidR="001731CD">
        <w:t xml:space="preserve"> an</w:t>
      </w:r>
      <w:r w:rsidR="00FF4883">
        <w:t xml:space="preserve"> infectious disease</w:t>
      </w:r>
      <w:r w:rsidR="00F2586E">
        <w:t>. It</w:t>
      </w:r>
      <w:r w:rsidR="00FF4883">
        <w:t xml:space="preserve"> provides an alternative means to address non-compliance in certain circumstances. </w:t>
      </w:r>
    </w:p>
    <w:p w:rsidR="002F6399" w:rsidRDefault="002F6399" w:rsidP="00FF4883">
      <w:pPr>
        <w:pStyle w:val="DHHSbody"/>
      </w:pPr>
      <w:r>
        <w:t xml:space="preserve">Education and support will be the primary means </w:t>
      </w:r>
      <w:r w:rsidR="001731CD">
        <w:t xml:space="preserve">adopted </w:t>
      </w:r>
      <w:r>
        <w:t>to achieve compliance</w:t>
      </w:r>
      <w:r w:rsidR="009112E6">
        <w:t>. A</w:t>
      </w:r>
      <w:r>
        <w:t xml:space="preserve">n infringement penalty </w:t>
      </w:r>
      <w:r w:rsidR="009112E6">
        <w:t xml:space="preserve">would only be considered </w:t>
      </w:r>
      <w:r>
        <w:t xml:space="preserve">where there is a </w:t>
      </w:r>
      <w:r w:rsidR="004B4D57">
        <w:t xml:space="preserve">genuine risk and </w:t>
      </w:r>
      <w:r>
        <w:t xml:space="preserve">deliberate intention to not comply. </w:t>
      </w:r>
      <w:r w:rsidR="009112E6">
        <w:t>Infringements of this kind are expected to be uncommon</w:t>
      </w:r>
      <w:r w:rsidR="00AB31B9">
        <w:t>.</w:t>
      </w:r>
    </w:p>
    <w:p w:rsidR="002F6399" w:rsidRDefault="009435AD" w:rsidP="009358AE">
      <w:pPr>
        <w:pStyle w:val="Heading2"/>
        <w:spacing w:before="360"/>
      </w:pPr>
      <w:r>
        <w:t xml:space="preserve">What does this mean for </w:t>
      </w:r>
      <w:r w:rsidR="004E65A8">
        <w:t xml:space="preserve">primary schools and </w:t>
      </w:r>
      <w:r>
        <w:t>child</w:t>
      </w:r>
      <w:r w:rsidR="0011412D">
        <w:t>ren’s</w:t>
      </w:r>
      <w:r>
        <w:t xml:space="preserve"> </w:t>
      </w:r>
      <w:r w:rsidR="00A67213">
        <w:t>services</w:t>
      </w:r>
      <w:r w:rsidR="004E65A8">
        <w:t>?</w:t>
      </w:r>
    </w:p>
    <w:p w:rsidR="002F6399" w:rsidRDefault="002F6399" w:rsidP="00FF4883">
      <w:pPr>
        <w:pStyle w:val="DHHSbody"/>
      </w:pPr>
      <w:r>
        <w:t xml:space="preserve">School principals and </w:t>
      </w:r>
      <w:r w:rsidR="004B4D57">
        <w:t xml:space="preserve">persons in charge </w:t>
      </w:r>
      <w:r>
        <w:t>of child</w:t>
      </w:r>
      <w:r w:rsidR="0011412D">
        <w:t>ren’s</w:t>
      </w:r>
      <w:r w:rsidR="00A67213">
        <w:t xml:space="preserve"> services</w:t>
      </w:r>
      <w:r>
        <w:t xml:space="preserve"> will continue to exercise their responsibilities </w:t>
      </w:r>
      <w:r w:rsidR="00D15532">
        <w:t xml:space="preserve">as needed </w:t>
      </w:r>
      <w:r>
        <w:t xml:space="preserve">and should </w:t>
      </w:r>
      <w:r w:rsidR="001731CD">
        <w:t xml:space="preserve">familiarise </w:t>
      </w:r>
      <w:r>
        <w:t>themselves with the changes.</w:t>
      </w:r>
      <w:r w:rsidR="007F4FB4">
        <w:t xml:space="preserve"> </w:t>
      </w:r>
    </w:p>
    <w:p w:rsidR="007F4FB4" w:rsidRDefault="007F4FB4" w:rsidP="00FF4883">
      <w:pPr>
        <w:pStyle w:val="DHHSbody"/>
      </w:pPr>
      <w:r>
        <w:t>Regulating periods of mandatory exclusion for both infected children and those vulnerable to infection provides a risk-based framework that protects attending children from contracting or spreading some infectious diseases. Short periods of targeted exclusion to prevent the spread of illness can prevent longer or more widespread absences from school and child</w:t>
      </w:r>
      <w:r w:rsidR="00695ED0">
        <w:t>ren’s services</w:t>
      </w:r>
      <w:r>
        <w:t xml:space="preserve"> as a result of illness, minimising the potential negative impact on a child’s education as well as their health. </w:t>
      </w:r>
    </w:p>
    <w:p w:rsidR="002F6399" w:rsidRDefault="002F6399" w:rsidP="002F6399">
      <w:pPr>
        <w:pStyle w:val="DHHSbody"/>
      </w:pPr>
      <w:r>
        <w:t>The department will continue to support primary schools and child</w:t>
      </w:r>
      <w:r w:rsidR="00695ED0">
        <w:t>ren’s</w:t>
      </w:r>
      <w:r>
        <w:t xml:space="preserve"> </w:t>
      </w:r>
      <w:r w:rsidR="00253876">
        <w:t>services</w:t>
      </w:r>
      <w:r>
        <w:t xml:space="preserve"> to facilitate awareness and compliance.</w:t>
      </w:r>
    </w:p>
    <w:p w:rsidR="002F6399" w:rsidRDefault="002F6399" w:rsidP="009358AE">
      <w:pPr>
        <w:pStyle w:val="Heading2"/>
        <w:spacing w:before="360"/>
      </w:pPr>
      <w:r>
        <w:t>How do I find out more?</w:t>
      </w:r>
    </w:p>
    <w:p w:rsidR="002F6399" w:rsidRDefault="002F6399" w:rsidP="002F6399">
      <w:pPr>
        <w:pStyle w:val="DHHSbody"/>
      </w:pPr>
      <w:r>
        <w:t>For more information about the changes</w:t>
      </w:r>
      <w:r w:rsidR="000D7C20">
        <w:t xml:space="preserve"> to immunisation and exclusions</w:t>
      </w:r>
      <w:r>
        <w:t>, please:</w:t>
      </w:r>
    </w:p>
    <w:p w:rsidR="002F6399" w:rsidRPr="00096DAD" w:rsidRDefault="00096DAD" w:rsidP="002F6399">
      <w:pPr>
        <w:pStyle w:val="DHHSbullet1"/>
        <w:numPr>
          <w:ilvl w:val="0"/>
          <w:numId w:val="1"/>
        </w:numPr>
        <w:rPr>
          <w:rStyle w:val="Hyperlink"/>
          <w:color w:val="auto"/>
          <w:u w:val="none"/>
        </w:rPr>
      </w:pPr>
      <w:r>
        <w:t xml:space="preserve">visit </w:t>
      </w:r>
      <w:hyperlink r:id="rId19" w:history="1">
        <w:r w:rsidR="002F6399">
          <w:rPr>
            <w:rStyle w:val="Hyperlink"/>
          </w:rPr>
          <w:t>www2.health.vic.gov.au/public-health/infectious-diseases/school-exclusion</w:t>
        </w:r>
      </w:hyperlink>
    </w:p>
    <w:p w:rsidR="00096DAD" w:rsidRPr="00096DAD" w:rsidRDefault="00096DAD" w:rsidP="002F6399">
      <w:pPr>
        <w:pStyle w:val="DHHSbullet1"/>
        <w:numPr>
          <w:ilvl w:val="0"/>
          <w:numId w:val="1"/>
        </w:numPr>
      </w:pPr>
      <w:r w:rsidRPr="00096DAD">
        <w:t>phone 1300 651 160</w:t>
      </w:r>
    </w:p>
    <w:p w:rsidR="00096DAD" w:rsidRPr="00096DAD" w:rsidRDefault="00096DAD" w:rsidP="00096DAD">
      <w:pPr>
        <w:pStyle w:val="DHHSbullet1lastline"/>
      </w:pPr>
      <w:r w:rsidRPr="00096DAD">
        <w:t>email infectious.diseases@dhhs.vic.gov.au</w:t>
      </w:r>
    </w:p>
    <w:p w:rsidR="00096DAD" w:rsidRDefault="00096DAD" w:rsidP="00096DAD">
      <w:pPr>
        <w:pStyle w:val="DHHSbullet1lastline"/>
        <w:numPr>
          <w:ilvl w:val="0"/>
          <w:numId w:val="0"/>
        </w:numPr>
      </w:pPr>
      <w:r>
        <w:t>To view the regulations, please visit the Victorian government</w:t>
      </w:r>
      <w:r w:rsidR="00F827E5">
        <w:t>’</w:t>
      </w:r>
      <w:r>
        <w:t xml:space="preserve">s legislation website </w:t>
      </w:r>
      <w:hyperlink r:id="rId20" w:history="1">
        <w:r w:rsidR="00E713C7" w:rsidRPr="00F52BEA">
          <w:rPr>
            <w:rStyle w:val="Hyperlink"/>
          </w:rPr>
          <w:t>www.legislation.vic.gov.au/</w:t>
        </w:r>
      </w:hyperlink>
      <w:r>
        <w:t xml:space="preserve"> and search </w:t>
      </w:r>
      <w:r w:rsidR="00F827E5">
        <w:t>‘</w:t>
      </w:r>
      <w:r>
        <w:t>Public Health and Wellbeing Regulations 2019</w:t>
      </w:r>
      <w:r w:rsidR="00F827E5">
        <w:t>’</w:t>
      </w:r>
      <w:r>
        <w:t>.</w:t>
      </w:r>
    </w:p>
    <w:p w:rsidR="00FF4883" w:rsidRDefault="00FF4883" w:rsidP="00FF6D9D">
      <w:pPr>
        <w:pStyle w:val="DHHSbody"/>
        <w:sectPr w:rsidR="00FF4883" w:rsidSect="008B7296">
          <w:type w:val="continuous"/>
          <w:pgSz w:w="11906" w:h="16838" w:code="9"/>
          <w:pgMar w:top="1418" w:right="851" w:bottom="0" w:left="851" w:header="567" w:footer="510" w:gutter="0"/>
          <w:cols w:num="2" w:space="340"/>
          <w:titlePg/>
          <w:docGrid w:linePitch="360"/>
        </w:sectPr>
      </w:pPr>
    </w:p>
    <w:p w:rsidR="002D12B2" w:rsidRPr="002D12B2" w:rsidRDefault="00242C5A" w:rsidP="002D12B2">
      <w:pPr>
        <w:pStyle w:val="Heading2"/>
      </w:pPr>
      <w:r>
        <w:lastRenderedPageBreak/>
        <w:t>A</w:t>
      </w:r>
      <w:r w:rsidR="00486F63">
        <w:t>ppendix</w:t>
      </w:r>
      <w:r>
        <w:t xml:space="preserve"> 1</w:t>
      </w:r>
      <w:r w:rsidR="00B736D1">
        <w:t xml:space="preserve"> </w:t>
      </w:r>
    </w:p>
    <w:p w:rsidR="001731CD" w:rsidRPr="00EA724A" w:rsidRDefault="002B43E0" w:rsidP="00EA724A">
      <w:pPr>
        <w:pStyle w:val="Heading4"/>
        <w:rPr>
          <w:sz w:val="22"/>
        </w:rPr>
      </w:pPr>
      <w:r w:rsidRPr="00EA724A">
        <w:rPr>
          <w:sz w:val="22"/>
        </w:rPr>
        <w:t xml:space="preserve">Extract of </w:t>
      </w:r>
      <w:r w:rsidR="001731CD" w:rsidRPr="00EA724A">
        <w:rPr>
          <w:sz w:val="22"/>
        </w:rPr>
        <w:t>Schedule 7 – Minimum period of exclusion from primary schools, education and care services premises and</w:t>
      </w:r>
      <w:r w:rsidR="00242C5A" w:rsidRPr="00EA724A">
        <w:rPr>
          <w:sz w:val="22"/>
        </w:rPr>
        <w:t xml:space="preserve"> children’s services centres for infectious diseases cases and contact</w:t>
      </w:r>
      <w:r w:rsidR="004B4D57" w:rsidRPr="00EA724A">
        <w:rPr>
          <w:sz w:val="22"/>
        </w:rPr>
        <w:t>s</w:t>
      </w:r>
    </w:p>
    <w:p w:rsidR="00E071A5" w:rsidRDefault="00E071A5" w:rsidP="00E071A5">
      <w:pPr>
        <w:pStyle w:val="DHHSbody"/>
      </w:pPr>
      <w:r w:rsidRPr="00F9354D">
        <w:rPr>
          <w:shd w:val="clear" w:color="auto" w:fill="D9E2F3" w:themeFill="accent1" w:themeFillTint="33"/>
        </w:rPr>
        <w:t>Highlighted</w:t>
      </w:r>
      <w:r>
        <w:t xml:space="preserve"> sections indicate changes</w:t>
      </w:r>
      <w:r w:rsidR="00B562A4">
        <w:t>.</w:t>
      </w:r>
    </w:p>
    <w:p w:rsidR="00242C5A" w:rsidRPr="00F84AEE" w:rsidRDefault="00242C5A" w:rsidP="00242C5A">
      <w:pPr>
        <w:rPr>
          <w:sz w:val="2"/>
          <w:szCs w:val="2"/>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7"/>
        <w:gridCol w:w="3780"/>
        <w:gridCol w:w="4053"/>
      </w:tblGrid>
      <w:tr w:rsidR="00242C5A" w:rsidRPr="00102560" w:rsidTr="00EA724A">
        <w:tc>
          <w:tcPr>
            <w:tcW w:w="2657" w:type="dxa"/>
          </w:tcPr>
          <w:p w:rsidR="00242C5A" w:rsidRPr="00102560" w:rsidRDefault="00242C5A" w:rsidP="00242C5A">
            <w:pPr>
              <w:pStyle w:val="DHHStablecolhead"/>
              <w:rPr>
                <w:sz w:val="18"/>
              </w:rPr>
            </w:pPr>
            <w:r w:rsidRPr="00102560">
              <w:rPr>
                <w:sz w:val="18"/>
              </w:rPr>
              <w:t>Conditions</w:t>
            </w:r>
          </w:p>
        </w:tc>
        <w:tc>
          <w:tcPr>
            <w:tcW w:w="3780" w:type="dxa"/>
          </w:tcPr>
          <w:p w:rsidR="00242C5A" w:rsidRPr="00102560" w:rsidRDefault="00242C5A" w:rsidP="00242C5A">
            <w:pPr>
              <w:pStyle w:val="DHHStablecolhead"/>
              <w:rPr>
                <w:sz w:val="18"/>
              </w:rPr>
            </w:pPr>
            <w:r w:rsidRPr="00102560">
              <w:rPr>
                <w:sz w:val="18"/>
              </w:rPr>
              <w:t>Exclusion of cases</w:t>
            </w:r>
          </w:p>
        </w:tc>
        <w:tc>
          <w:tcPr>
            <w:tcW w:w="4053" w:type="dxa"/>
          </w:tcPr>
          <w:p w:rsidR="00242C5A" w:rsidRPr="00102560" w:rsidRDefault="00242C5A" w:rsidP="00242C5A">
            <w:pPr>
              <w:pStyle w:val="DHHStablecolhead"/>
              <w:rPr>
                <w:sz w:val="18"/>
              </w:rPr>
            </w:pPr>
            <w:r w:rsidRPr="00102560">
              <w:rPr>
                <w:sz w:val="18"/>
              </w:rPr>
              <w:t>Exclusion of Contacts</w:t>
            </w:r>
          </w:p>
        </w:tc>
      </w:tr>
      <w:tr w:rsidR="00242C5A" w:rsidRPr="00102560" w:rsidTr="00EA724A">
        <w:tc>
          <w:tcPr>
            <w:tcW w:w="2657" w:type="dxa"/>
          </w:tcPr>
          <w:p w:rsidR="00242C5A" w:rsidRPr="00102560" w:rsidRDefault="00242C5A" w:rsidP="00242C5A">
            <w:pPr>
              <w:pStyle w:val="DHHStabletext"/>
              <w:rPr>
                <w:sz w:val="18"/>
              </w:rPr>
            </w:pPr>
            <w:bookmarkStart w:id="5" w:name="_Hlk5625196"/>
            <w:r w:rsidRPr="00102560">
              <w:rPr>
                <w:sz w:val="18"/>
              </w:rPr>
              <w:t>Chickenpox</w:t>
            </w:r>
          </w:p>
        </w:tc>
        <w:tc>
          <w:tcPr>
            <w:tcW w:w="3780" w:type="dxa"/>
          </w:tcPr>
          <w:p w:rsidR="00242C5A" w:rsidRPr="00102560" w:rsidRDefault="00242C5A" w:rsidP="00242C5A">
            <w:pPr>
              <w:pStyle w:val="DHHStabletext"/>
              <w:rPr>
                <w:sz w:val="18"/>
              </w:rPr>
            </w:pPr>
            <w:r w:rsidRPr="00102560">
              <w:rPr>
                <w:sz w:val="18"/>
              </w:rPr>
              <w:t>Exclude until all blisters have dried.  This is usually at least 5 days after the rash appears in unimmunised children, but may be less in previously immunised children</w:t>
            </w:r>
          </w:p>
        </w:tc>
        <w:tc>
          <w:tcPr>
            <w:tcW w:w="4053" w:type="dxa"/>
          </w:tcPr>
          <w:p w:rsidR="00242C5A" w:rsidRPr="00102560" w:rsidRDefault="00242C5A" w:rsidP="00242C5A">
            <w:pPr>
              <w:pStyle w:val="DHHStabletext"/>
              <w:rPr>
                <w:sz w:val="18"/>
              </w:rPr>
            </w:pPr>
            <w:r w:rsidRPr="00102560">
              <w:rPr>
                <w:sz w:val="18"/>
              </w:rPr>
              <w:t>Any child with an immune deficiency (for example, leukaemia) or receiving chemotherapy should be excluded for their own protection.  Otherwise not excluded</w:t>
            </w:r>
          </w:p>
        </w:tc>
      </w:tr>
      <w:tr w:rsidR="00242C5A" w:rsidRPr="00102560" w:rsidTr="00EA724A">
        <w:tc>
          <w:tcPr>
            <w:tcW w:w="2657" w:type="dxa"/>
            <w:tcBorders>
              <w:bottom w:val="single" w:sz="4" w:space="0" w:color="auto"/>
            </w:tcBorders>
          </w:tcPr>
          <w:p w:rsidR="00242C5A" w:rsidRPr="00102560" w:rsidRDefault="00242C5A" w:rsidP="00242C5A">
            <w:pPr>
              <w:pStyle w:val="DHHStabletext"/>
              <w:rPr>
                <w:sz w:val="18"/>
              </w:rPr>
            </w:pPr>
            <w:r w:rsidRPr="00102560">
              <w:rPr>
                <w:sz w:val="18"/>
              </w:rPr>
              <w:t>Conjunctivitis</w:t>
            </w:r>
          </w:p>
        </w:tc>
        <w:tc>
          <w:tcPr>
            <w:tcW w:w="3780" w:type="dxa"/>
            <w:tcBorders>
              <w:bottom w:val="single" w:sz="4" w:space="0" w:color="auto"/>
            </w:tcBorders>
          </w:tcPr>
          <w:p w:rsidR="00242C5A" w:rsidRPr="00102560" w:rsidRDefault="00242C5A" w:rsidP="00242C5A">
            <w:pPr>
              <w:pStyle w:val="DHHStabletext"/>
              <w:rPr>
                <w:sz w:val="18"/>
              </w:rPr>
            </w:pPr>
            <w:r w:rsidRPr="00102560">
              <w:rPr>
                <w:sz w:val="18"/>
              </w:rPr>
              <w:t>Exclude until discharge from eyes has ceased</w:t>
            </w:r>
          </w:p>
        </w:tc>
        <w:tc>
          <w:tcPr>
            <w:tcW w:w="4053" w:type="dxa"/>
            <w:tcBorders>
              <w:bottom w:val="single" w:sz="4" w:space="0" w:color="auto"/>
            </w:tcBorders>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Borders>
              <w:bottom w:val="single" w:sz="4" w:space="0" w:color="auto"/>
            </w:tcBorders>
            <w:shd w:val="clear" w:color="auto" w:fill="D9E2F3" w:themeFill="accent1" w:themeFillTint="33"/>
          </w:tcPr>
          <w:p w:rsidR="00242C5A" w:rsidRPr="00102560" w:rsidRDefault="00242C5A" w:rsidP="00242C5A">
            <w:pPr>
              <w:pStyle w:val="DHHStabletext"/>
              <w:rPr>
                <w:sz w:val="18"/>
              </w:rPr>
            </w:pPr>
            <w:r w:rsidRPr="00102560">
              <w:rPr>
                <w:sz w:val="18"/>
              </w:rPr>
              <w:t>Cytomegalovirus (CMV) infection</w:t>
            </w:r>
          </w:p>
        </w:tc>
        <w:tc>
          <w:tcPr>
            <w:tcW w:w="3780" w:type="dxa"/>
            <w:tcBorders>
              <w:bottom w:val="single" w:sz="4" w:space="0" w:color="auto"/>
            </w:tcBorders>
            <w:shd w:val="clear" w:color="auto" w:fill="D9E2F3" w:themeFill="accent1" w:themeFillTint="33"/>
          </w:tcPr>
          <w:p w:rsidR="00242C5A" w:rsidRPr="00102560" w:rsidRDefault="00242C5A" w:rsidP="00242C5A">
            <w:pPr>
              <w:pStyle w:val="DHHStabletext"/>
              <w:rPr>
                <w:sz w:val="18"/>
              </w:rPr>
            </w:pPr>
            <w:r w:rsidRPr="00102560">
              <w:rPr>
                <w:sz w:val="18"/>
              </w:rPr>
              <w:t>Exclusion is not necessary</w:t>
            </w:r>
          </w:p>
        </w:tc>
        <w:tc>
          <w:tcPr>
            <w:tcW w:w="4053" w:type="dxa"/>
            <w:tcBorders>
              <w:bottom w:val="single" w:sz="4" w:space="0" w:color="auto"/>
            </w:tcBorders>
            <w:shd w:val="clear" w:color="auto" w:fill="D9E2F3" w:themeFill="accent1" w:themeFillTint="33"/>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shd w:val="clear" w:color="auto" w:fill="D9E2F3" w:themeFill="accent1" w:themeFillTint="33"/>
          </w:tcPr>
          <w:p w:rsidR="00242C5A" w:rsidRPr="00102560" w:rsidRDefault="00242C5A" w:rsidP="00242C5A">
            <w:pPr>
              <w:pStyle w:val="DHHStabletext"/>
              <w:rPr>
                <w:sz w:val="18"/>
              </w:rPr>
            </w:pPr>
            <w:r w:rsidRPr="00102560">
              <w:rPr>
                <w:sz w:val="18"/>
              </w:rPr>
              <w:t>Diarrhoeal illness</w:t>
            </w:r>
            <w:r w:rsidR="00490FD7" w:rsidRPr="00102560">
              <w:rPr>
                <w:rStyle w:val="FootnoteReference"/>
                <w:sz w:val="18"/>
              </w:rPr>
              <w:footnoteReference w:id="2"/>
            </w:r>
          </w:p>
        </w:tc>
        <w:tc>
          <w:tcPr>
            <w:tcW w:w="3780" w:type="dxa"/>
            <w:shd w:val="clear" w:color="auto" w:fill="auto"/>
          </w:tcPr>
          <w:p w:rsidR="00242C5A" w:rsidRPr="00102560" w:rsidRDefault="00242C5A" w:rsidP="00242C5A">
            <w:pPr>
              <w:pStyle w:val="DHHStabletext"/>
              <w:rPr>
                <w:sz w:val="18"/>
              </w:rPr>
            </w:pPr>
            <w:r w:rsidRPr="00102560">
              <w:rPr>
                <w:sz w:val="18"/>
              </w:rPr>
              <w:t>Exclude until there has not been vomiting or a loose bowel motion for 24 hours</w:t>
            </w:r>
          </w:p>
        </w:tc>
        <w:tc>
          <w:tcPr>
            <w:tcW w:w="4053" w:type="dxa"/>
            <w:shd w:val="clear" w:color="auto" w:fill="auto"/>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Borders>
              <w:bottom w:val="single" w:sz="4" w:space="0" w:color="auto"/>
            </w:tcBorders>
          </w:tcPr>
          <w:p w:rsidR="00242C5A" w:rsidRPr="00102560" w:rsidRDefault="00242C5A" w:rsidP="00242C5A">
            <w:pPr>
              <w:pStyle w:val="DHHStabletext"/>
              <w:rPr>
                <w:sz w:val="18"/>
              </w:rPr>
            </w:pPr>
            <w:r w:rsidRPr="00102560">
              <w:rPr>
                <w:sz w:val="18"/>
              </w:rPr>
              <w:t>Diphtheria</w:t>
            </w:r>
          </w:p>
        </w:tc>
        <w:tc>
          <w:tcPr>
            <w:tcW w:w="3780" w:type="dxa"/>
            <w:tcBorders>
              <w:bottom w:val="single" w:sz="4" w:space="0" w:color="auto"/>
            </w:tcBorders>
          </w:tcPr>
          <w:p w:rsidR="00242C5A" w:rsidRPr="00102560" w:rsidRDefault="00242C5A" w:rsidP="00242C5A">
            <w:pPr>
              <w:pStyle w:val="DHHStabletext"/>
              <w:rPr>
                <w:sz w:val="18"/>
              </w:rPr>
            </w:pPr>
            <w:r w:rsidRPr="00102560">
              <w:rPr>
                <w:sz w:val="18"/>
              </w:rPr>
              <w:t>Exclude until medical certificate of recovery is received following at least two negative throat swabs, the first not less than 24 hours after finishing a course of antibiotics and the other 48 hours later</w:t>
            </w:r>
          </w:p>
        </w:tc>
        <w:tc>
          <w:tcPr>
            <w:tcW w:w="4053" w:type="dxa"/>
            <w:tcBorders>
              <w:bottom w:val="single" w:sz="4" w:space="0" w:color="auto"/>
            </w:tcBorders>
          </w:tcPr>
          <w:p w:rsidR="00242C5A" w:rsidRPr="00102560" w:rsidRDefault="00242C5A" w:rsidP="00242C5A">
            <w:pPr>
              <w:pStyle w:val="DHHStabletext"/>
              <w:rPr>
                <w:sz w:val="18"/>
              </w:rPr>
            </w:pPr>
            <w:r w:rsidRPr="00102560">
              <w:rPr>
                <w:sz w:val="18"/>
              </w:rPr>
              <w:t xml:space="preserve">Exclude family/household contacts until cleared to return by the </w:t>
            </w:r>
            <w:r w:rsidR="00B562A4" w:rsidRPr="00102560">
              <w:rPr>
                <w:sz w:val="18"/>
              </w:rPr>
              <w:t>Chief Health Officer</w:t>
            </w:r>
          </w:p>
        </w:tc>
      </w:tr>
      <w:tr w:rsidR="00242C5A" w:rsidRPr="00102560" w:rsidTr="00EA724A">
        <w:tc>
          <w:tcPr>
            <w:tcW w:w="2657" w:type="dxa"/>
            <w:shd w:val="clear" w:color="auto" w:fill="D9E2F3" w:themeFill="accent1" w:themeFillTint="33"/>
          </w:tcPr>
          <w:p w:rsidR="00242C5A" w:rsidRPr="00102560" w:rsidRDefault="00242C5A" w:rsidP="00CA52E0">
            <w:pPr>
              <w:pStyle w:val="DHHStabletext"/>
              <w:keepLines/>
              <w:rPr>
                <w:sz w:val="18"/>
              </w:rPr>
            </w:pPr>
            <w:r w:rsidRPr="00102560">
              <w:rPr>
                <w:sz w:val="18"/>
              </w:rPr>
              <w:t>Glandular fever</w:t>
            </w:r>
            <w:r w:rsidR="00CA52E0" w:rsidRPr="00102560">
              <w:rPr>
                <w:sz w:val="18"/>
              </w:rPr>
              <w:t xml:space="preserve"> </w:t>
            </w:r>
            <w:r w:rsidRPr="00102560">
              <w:rPr>
                <w:sz w:val="18"/>
              </w:rPr>
              <w:t>(Epstein-Barr Virus infection)</w:t>
            </w:r>
          </w:p>
        </w:tc>
        <w:tc>
          <w:tcPr>
            <w:tcW w:w="3780" w:type="dxa"/>
            <w:shd w:val="clear" w:color="auto" w:fill="D9E2F3" w:themeFill="accent1" w:themeFillTint="33"/>
          </w:tcPr>
          <w:p w:rsidR="00242C5A" w:rsidRPr="00102560" w:rsidRDefault="00242C5A" w:rsidP="00242C5A">
            <w:pPr>
              <w:pStyle w:val="DHHStabletext"/>
              <w:rPr>
                <w:sz w:val="18"/>
              </w:rPr>
            </w:pPr>
            <w:r w:rsidRPr="00102560">
              <w:rPr>
                <w:sz w:val="18"/>
              </w:rPr>
              <w:t>Exclusion is not necessary</w:t>
            </w:r>
          </w:p>
        </w:tc>
        <w:tc>
          <w:tcPr>
            <w:tcW w:w="4053" w:type="dxa"/>
            <w:shd w:val="clear" w:color="auto" w:fill="D9E2F3" w:themeFill="accent1" w:themeFillTint="33"/>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Borders>
              <w:bottom w:val="single" w:sz="4" w:space="0" w:color="auto"/>
            </w:tcBorders>
          </w:tcPr>
          <w:p w:rsidR="00242C5A" w:rsidRPr="00102560" w:rsidRDefault="00242C5A" w:rsidP="00242C5A">
            <w:pPr>
              <w:pStyle w:val="DHHStabletext"/>
              <w:rPr>
                <w:sz w:val="18"/>
              </w:rPr>
            </w:pPr>
            <w:r w:rsidRPr="00102560">
              <w:rPr>
                <w:sz w:val="18"/>
              </w:rPr>
              <w:t>Hand, Foot and Mouth disease</w:t>
            </w:r>
          </w:p>
        </w:tc>
        <w:tc>
          <w:tcPr>
            <w:tcW w:w="3780" w:type="dxa"/>
            <w:tcBorders>
              <w:bottom w:val="single" w:sz="4" w:space="0" w:color="auto"/>
            </w:tcBorders>
          </w:tcPr>
          <w:p w:rsidR="00242C5A" w:rsidRPr="00102560" w:rsidRDefault="00242C5A" w:rsidP="00242C5A">
            <w:pPr>
              <w:pStyle w:val="DHHStabletext"/>
              <w:rPr>
                <w:sz w:val="18"/>
              </w:rPr>
            </w:pPr>
            <w:r w:rsidRPr="00102560">
              <w:rPr>
                <w:sz w:val="18"/>
              </w:rPr>
              <w:t>Exclude until all blisters have dried</w:t>
            </w:r>
          </w:p>
        </w:tc>
        <w:tc>
          <w:tcPr>
            <w:tcW w:w="4053" w:type="dxa"/>
            <w:tcBorders>
              <w:bottom w:val="single" w:sz="4" w:space="0" w:color="auto"/>
            </w:tcBorders>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shd w:val="clear" w:color="auto" w:fill="D9E2F3" w:themeFill="accent1" w:themeFillTint="33"/>
          </w:tcPr>
          <w:p w:rsidR="00242C5A" w:rsidRPr="00102560" w:rsidRDefault="00242C5A" w:rsidP="00242C5A">
            <w:pPr>
              <w:pStyle w:val="DHHStabletext"/>
              <w:rPr>
                <w:sz w:val="18"/>
              </w:rPr>
            </w:pPr>
            <w:r w:rsidRPr="00102560">
              <w:rPr>
                <w:i/>
                <w:sz w:val="18"/>
              </w:rPr>
              <w:t>Haemophilus</w:t>
            </w:r>
            <w:r w:rsidRPr="00102560">
              <w:rPr>
                <w:sz w:val="18"/>
              </w:rPr>
              <w:t xml:space="preserve"> </w:t>
            </w:r>
            <w:r w:rsidRPr="00102560">
              <w:rPr>
                <w:i/>
                <w:sz w:val="18"/>
              </w:rPr>
              <w:t xml:space="preserve">influenzae </w:t>
            </w:r>
            <w:r w:rsidRPr="00102560">
              <w:rPr>
                <w:sz w:val="18"/>
              </w:rPr>
              <w:t>type b (Hib)</w:t>
            </w:r>
          </w:p>
        </w:tc>
        <w:tc>
          <w:tcPr>
            <w:tcW w:w="3780" w:type="dxa"/>
            <w:shd w:val="clear" w:color="auto" w:fill="D9E2F3" w:themeFill="accent1" w:themeFillTint="33"/>
          </w:tcPr>
          <w:p w:rsidR="00242C5A" w:rsidRPr="00102560" w:rsidRDefault="00242C5A" w:rsidP="00242C5A">
            <w:pPr>
              <w:pStyle w:val="DHHStabletext"/>
              <w:rPr>
                <w:sz w:val="18"/>
              </w:rPr>
            </w:pPr>
            <w:r w:rsidRPr="00102560">
              <w:rPr>
                <w:sz w:val="18"/>
              </w:rPr>
              <w:t>Exclude until 48 hours after initiation of effective therapy</w:t>
            </w:r>
          </w:p>
        </w:tc>
        <w:tc>
          <w:tcPr>
            <w:tcW w:w="4053" w:type="dxa"/>
            <w:shd w:val="clear" w:color="auto" w:fill="D9E2F3" w:themeFill="accent1" w:themeFillTint="33"/>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Hepatitis A</w:t>
            </w:r>
          </w:p>
        </w:tc>
        <w:tc>
          <w:tcPr>
            <w:tcW w:w="3780" w:type="dxa"/>
          </w:tcPr>
          <w:p w:rsidR="00242C5A" w:rsidRPr="00102560" w:rsidRDefault="00242C5A" w:rsidP="00242C5A">
            <w:pPr>
              <w:pStyle w:val="DHHStabletext"/>
              <w:rPr>
                <w:sz w:val="18"/>
              </w:rPr>
            </w:pPr>
            <w:r w:rsidRPr="00102560">
              <w:rPr>
                <w:sz w:val="18"/>
              </w:rPr>
              <w:t>Exclude until a medical certificate of recovery is received, but not before 7 days after the onset of jaundice or illness</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Hepatitis B</w:t>
            </w:r>
          </w:p>
        </w:tc>
        <w:tc>
          <w:tcPr>
            <w:tcW w:w="3780" w:type="dxa"/>
          </w:tcPr>
          <w:p w:rsidR="00242C5A" w:rsidRPr="00102560" w:rsidRDefault="00242C5A" w:rsidP="00242C5A">
            <w:pPr>
              <w:pStyle w:val="DHHStabletext"/>
              <w:rPr>
                <w:sz w:val="18"/>
              </w:rPr>
            </w:pPr>
            <w:r w:rsidRPr="00102560">
              <w:rPr>
                <w:sz w:val="18"/>
              </w:rPr>
              <w:t>Exclusion is not necessary</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Hepatitis C</w:t>
            </w:r>
          </w:p>
        </w:tc>
        <w:tc>
          <w:tcPr>
            <w:tcW w:w="3780" w:type="dxa"/>
          </w:tcPr>
          <w:p w:rsidR="00242C5A" w:rsidRPr="00102560" w:rsidRDefault="00242C5A" w:rsidP="00242C5A">
            <w:pPr>
              <w:pStyle w:val="DHHStabletext"/>
              <w:rPr>
                <w:sz w:val="18"/>
              </w:rPr>
            </w:pPr>
            <w:r w:rsidRPr="00102560">
              <w:rPr>
                <w:sz w:val="18"/>
              </w:rPr>
              <w:t>Exclusion is not necessary</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Borders>
              <w:bottom w:val="single" w:sz="4" w:space="0" w:color="auto"/>
            </w:tcBorders>
          </w:tcPr>
          <w:p w:rsidR="00242C5A" w:rsidRPr="00102560" w:rsidRDefault="00242C5A" w:rsidP="00242C5A">
            <w:pPr>
              <w:pStyle w:val="DHHStabletext"/>
              <w:rPr>
                <w:sz w:val="18"/>
              </w:rPr>
            </w:pPr>
            <w:r w:rsidRPr="00102560">
              <w:rPr>
                <w:sz w:val="18"/>
              </w:rPr>
              <w:t>Herpes (</w:t>
            </w:r>
            <w:r w:rsidRPr="00102560">
              <w:rPr>
                <w:i/>
                <w:sz w:val="18"/>
              </w:rPr>
              <w:t>cold sores</w:t>
            </w:r>
            <w:r w:rsidRPr="00102560">
              <w:rPr>
                <w:sz w:val="18"/>
              </w:rPr>
              <w:t>)</w:t>
            </w:r>
          </w:p>
        </w:tc>
        <w:tc>
          <w:tcPr>
            <w:tcW w:w="3780" w:type="dxa"/>
          </w:tcPr>
          <w:p w:rsidR="00242C5A" w:rsidRPr="00102560" w:rsidRDefault="00242C5A" w:rsidP="00242C5A">
            <w:pPr>
              <w:pStyle w:val="DHHStabletext"/>
              <w:rPr>
                <w:sz w:val="18"/>
              </w:rPr>
            </w:pPr>
            <w:r w:rsidRPr="00102560">
              <w:rPr>
                <w:sz w:val="18"/>
              </w:rPr>
              <w:t>Young children unable to comply with good hygiene practices should be excluded while the lesion is weeping.  Lesions to be covered by dressing, where possible</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shd w:val="clear" w:color="auto" w:fill="D9E2F3" w:themeFill="accent1" w:themeFillTint="33"/>
          </w:tcPr>
          <w:p w:rsidR="00242C5A" w:rsidRPr="00102560" w:rsidRDefault="00242C5A" w:rsidP="00242C5A">
            <w:pPr>
              <w:pStyle w:val="DHHStabletext"/>
              <w:rPr>
                <w:sz w:val="18"/>
              </w:rPr>
            </w:pPr>
            <w:r w:rsidRPr="00102560">
              <w:rPr>
                <w:sz w:val="18"/>
              </w:rPr>
              <w:t>Human immuno-deficiency virus infection (HIV)</w:t>
            </w:r>
          </w:p>
        </w:tc>
        <w:tc>
          <w:tcPr>
            <w:tcW w:w="3780" w:type="dxa"/>
          </w:tcPr>
          <w:p w:rsidR="00242C5A" w:rsidRPr="00102560" w:rsidRDefault="00242C5A" w:rsidP="00242C5A">
            <w:pPr>
              <w:pStyle w:val="DHHStabletext"/>
              <w:rPr>
                <w:sz w:val="18"/>
              </w:rPr>
            </w:pPr>
            <w:r w:rsidRPr="00102560">
              <w:rPr>
                <w:sz w:val="18"/>
              </w:rPr>
              <w:t>Exclusion is not necessary</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Impetigo</w:t>
            </w:r>
          </w:p>
        </w:tc>
        <w:tc>
          <w:tcPr>
            <w:tcW w:w="3780" w:type="dxa"/>
          </w:tcPr>
          <w:p w:rsidR="00242C5A" w:rsidRPr="00102560" w:rsidRDefault="00242C5A" w:rsidP="00242C5A">
            <w:pPr>
              <w:pStyle w:val="DHHStabletext"/>
              <w:rPr>
                <w:sz w:val="18"/>
              </w:rPr>
            </w:pPr>
            <w:r w:rsidRPr="00102560">
              <w:rPr>
                <w:sz w:val="18"/>
              </w:rPr>
              <w:t>Exclude until appropriate treatment has commenced. Sores on exposed surfaces must be covered with a watertight dressing</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Influenza and influenza like illnesses</w:t>
            </w:r>
          </w:p>
        </w:tc>
        <w:tc>
          <w:tcPr>
            <w:tcW w:w="3780" w:type="dxa"/>
          </w:tcPr>
          <w:p w:rsidR="00242C5A" w:rsidRPr="00102560" w:rsidRDefault="00242C5A" w:rsidP="00242C5A">
            <w:pPr>
              <w:pStyle w:val="DHHStabletext"/>
              <w:rPr>
                <w:sz w:val="18"/>
              </w:rPr>
            </w:pPr>
            <w:r w:rsidRPr="00102560">
              <w:rPr>
                <w:sz w:val="18"/>
              </w:rPr>
              <w:t>Exclude until well</w:t>
            </w:r>
          </w:p>
        </w:tc>
        <w:tc>
          <w:tcPr>
            <w:tcW w:w="4053" w:type="dxa"/>
          </w:tcPr>
          <w:p w:rsidR="00242C5A" w:rsidRPr="00102560" w:rsidRDefault="00242C5A" w:rsidP="00242C5A">
            <w:pPr>
              <w:pStyle w:val="DHHStabletext"/>
              <w:rPr>
                <w:sz w:val="18"/>
              </w:rPr>
            </w:pPr>
            <w:r w:rsidRPr="00102560">
              <w:rPr>
                <w:sz w:val="18"/>
              </w:rPr>
              <w:t>Not excluded unless considered necessary by the</w:t>
            </w:r>
            <w:r w:rsidR="00B562A4" w:rsidRPr="00102560">
              <w:rPr>
                <w:sz w:val="18"/>
              </w:rPr>
              <w:t xml:space="preserve"> Chief Health officer</w:t>
            </w:r>
          </w:p>
        </w:tc>
      </w:tr>
      <w:tr w:rsidR="00242C5A" w:rsidRPr="00102560" w:rsidTr="00EA724A">
        <w:tc>
          <w:tcPr>
            <w:tcW w:w="2657" w:type="dxa"/>
          </w:tcPr>
          <w:p w:rsidR="00242C5A" w:rsidRPr="00102560" w:rsidRDefault="00242C5A" w:rsidP="00242C5A">
            <w:pPr>
              <w:pStyle w:val="DHHStabletext"/>
              <w:rPr>
                <w:sz w:val="18"/>
              </w:rPr>
            </w:pPr>
            <w:r w:rsidRPr="00102560">
              <w:rPr>
                <w:sz w:val="18"/>
              </w:rPr>
              <w:t>Leprosy</w:t>
            </w:r>
          </w:p>
        </w:tc>
        <w:tc>
          <w:tcPr>
            <w:tcW w:w="3780" w:type="dxa"/>
          </w:tcPr>
          <w:p w:rsidR="00242C5A" w:rsidRPr="00102560" w:rsidRDefault="00242C5A" w:rsidP="00242C5A">
            <w:pPr>
              <w:pStyle w:val="DHHStabletext"/>
              <w:rPr>
                <w:sz w:val="18"/>
              </w:rPr>
            </w:pPr>
            <w:r w:rsidRPr="00102560">
              <w:rPr>
                <w:sz w:val="18"/>
              </w:rPr>
              <w:t xml:space="preserve">Exclude until approval to return has been given by the </w:t>
            </w:r>
            <w:r w:rsidR="00B562A4" w:rsidRPr="00102560">
              <w:rPr>
                <w:sz w:val="18"/>
              </w:rPr>
              <w:t>Chief Health Officer</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Measles</w:t>
            </w:r>
          </w:p>
        </w:tc>
        <w:tc>
          <w:tcPr>
            <w:tcW w:w="3780" w:type="dxa"/>
          </w:tcPr>
          <w:p w:rsidR="00242C5A" w:rsidRPr="00102560" w:rsidRDefault="00242C5A" w:rsidP="00242C5A">
            <w:pPr>
              <w:pStyle w:val="DHHStabletext"/>
              <w:rPr>
                <w:sz w:val="18"/>
              </w:rPr>
            </w:pPr>
            <w:r w:rsidRPr="00102560">
              <w:rPr>
                <w:sz w:val="18"/>
              </w:rPr>
              <w:t xml:space="preserve">Exclude for at least 4 days after onset of </w:t>
            </w:r>
            <w:r w:rsidRPr="00102560">
              <w:rPr>
                <w:sz w:val="18"/>
              </w:rPr>
              <w:br/>
              <w:t>rash</w:t>
            </w:r>
          </w:p>
        </w:tc>
        <w:tc>
          <w:tcPr>
            <w:tcW w:w="4053" w:type="dxa"/>
          </w:tcPr>
          <w:p w:rsidR="00242C5A" w:rsidRPr="00102560" w:rsidRDefault="00242C5A" w:rsidP="00242C5A">
            <w:pPr>
              <w:pStyle w:val="DHHStabletext"/>
              <w:rPr>
                <w:sz w:val="18"/>
              </w:rPr>
            </w:pPr>
            <w:r w:rsidRPr="00102560">
              <w:rPr>
                <w:sz w:val="18"/>
              </w:rPr>
              <w:t xml:space="preserve">Immunised contacts not excluded.  Unimmunised contacts should be excluded until 14 days after the first day of appearance of rash in the last case.  If unimmunised contacts are </w:t>
            </w:r>
            <w:r w:rsidRPr="00102560">
              <w:rPr>
                <w:sz w:val="18"/>
              </w:rPr>
              <w:lastRenderedPageBreak/>
              <w:t>vaccinated within 72 hours of exposure with any infectious case, or received Normal Human Immunoglobulin (NHIG) within 144 hours of exposure of any infectious case, they may return to the facility</w:t>
            </w:r>
          </w:p>
        </w:tc>
      </w:tr>
      <w:tr w:rsidR="00242C5A" w:rsidRPr="00102560" w:rsidTr="00EA724A">
        <w:tc>
          <w:tcPr>
            <w:tcW w:w="2657" w:type="dxa"/>
          </w:tcPr>
          <w:p w:rsidR="00242C5A" w:rsidRPr="00102560" w:rsidRDefault="00242C5A" w:rsidP="00242C5A">
            <w:pPr>
              <w:pStyle w:val="DHHStabletext"/>
              <w:rPr>
                <w:sz w:val="18"/>
              </w:rPr>
            </w:pPr>
            <w:r w:rsidRPr="00102560">
              <w:rPr>
                <w:sz w:val="18"/>
              </w:rPr>
              <w:lastRenderedPageBreak/>
              <w:t>Meningitis (bacteria</w:t>
            </w:r>
            <w:r w:rsidR="004F75C4">
              <w:rPr>
                <w:sz w:val="18"/>
              </w:rPr>
              <w:t>l</w:t>
            </w:r>
            <w:r w:rsidRPr="00102560">
              <w:rPr>
                <w:sz w:val="18"/>
              </w:rPr>
              <w:t xml:space="preserve"> —other than meningococcal meningitis)</w:t>
            </w:r>
          </w:p>
        </w:tc>
        <w:tc>
          <w:tcPr>
            <w:tcW w:w="3780" w:type="dxa"/>
          </w:tcPr>
          <w:p w:rsidR="00242C5A" w:rsidRPr="00102560" w:rsidRDefault="00242C5A" w:rsidP="00242C5A">
            <w:pPr>
              <w:pStyle w:val="DHHStabletext"/>
              <w:rPr>
                <w:sz w:val="18"/>
              </w:rPr>
            </w:pPr>
            <w:r w:rsidRPr="00102560">
              <w:rPr>
                <w:sz w:val="18"/>
              </w:rPr>
              <w:t>Exclude until well</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Meningococcal infection</w:t>
            </w:r>
          </w:p>
        </w:tc>
        <w:tc>
          <w:tcPr>
            <w:tcW w:w="3780" w:type="dxa"/>
          </w:tcPr>
          <w:p w:rsidR="00242C5A" w:rsidRPr="00102560" w:rsidRDefault="00242C5A" w:rsidP="00242C5A">
            <w:pPr>
              <w:pStyle w:val="DHHStabletext"/>
              <w:rPr>
                <w:sz w:val="18"/>
              </w:rPr>
            </w:pPr>
            <w:r w:rsidRPr="00102560">
              <w:rPr>
                <w:sz w:val="18"/>
              </w:rPr>
              <w:t>Exclude until adequate carrier eradication therapy has been completed</w:t>
            </w:r>
          </w:p>
        </w:tc>
        <w:tc>
          <w:tcPr>
            <w:tcW w:w="4053" w:type="dxa"/>
          </w:tcPr>
          <w:p w:rsidR="00242C5A" w:rsidRPr="00102560" w:rsidRDefault="00242C5A" w:rsidP="00242C5A">
            <w:pPr>
              <w:pStyle w:val="DHHStabletext"/>
              <w:rPr>
                <w:sz w:val="18"/>
              </w:rPr>
            </w:pPr>
            <w:r w:rsidRPr="00102560">
              <w:rPr>
                <w:sz w:val="18"/>
              </w:rPr>
              <w:t>Not excluded if receiving carrier eradication therapy</w:t>
            </w:r>
          </w:p>
        </w:tc>
      </w:tr>
      <w:tr w:rsidR="00242C5A" w:rsidRPr="00102560" w:rsidTr="00EA724A">
        <w:tc>
          <w:tcPr>
            <w:tcW w:w="2657" w:type="dxa"/>
            <w:tcBorders>
              <w:bottom w:val="single" w:sz="4" w:space="0" w:color="auto"/>
            </w:tcBorders>
          </w:tcPr>
          <w:p w:rsidR="00242C5A" w:rsidRPr="00102560" w:rsidRDefault="00242C5A" w:rsidP="00242C5A">
            <w:pPr>
              <w:pStyle w:val="DHHStabletext"/>
              <w:rPr>
                <w:sz w:val="18"/>
              </w:rPr>
            </w:pPr>
            <w:r w:rsidRPr="00102560">
              <w:rPr>
                <w:sz w:val="18"/>
              </w:rPr>
              <w:t>Mumps</w:t>
            </w:r>
          </w:p>
        </w:tc>
        <w:tc>
          <w:tcPr>
            <w:tcW w:w="3780" w:type="dxa"/>
            <w:tcBorders>
              <w:bottom w:val="single" w:sz="4" w:space="0" w:color="auto"/>
            </w:tcBorders>
          </w:tcPr>
          <w:p w:rsidR="00242C5A" w:rsidRPr="00102560" w:rsidRDefault="00242C5A" w:rsidP="00242C5A">
            <w:pPr>
              <w:pStyle w:val="DHHStabletext"/>
              <w:rPr>
                <w:sz w:val="18"/>
              </w:rPr>
            </w:pPr>
            <w:r w:rsidRPr="00102560">
              <w:rPr>
                <w:sz w:val="18"/>
              </w:rPr>
              <w:t>Exclude for 5 days or until swelling goes down (whichever is sooner)</w:t>
            </w:r>
          </w:p>
        </w:tc>
        <w:tc>
          <w:tcPr>
            <w:tcW w:w="4053" w:type="dxa"/>
            <w:tcBorders>
              <w:bottom w:val="single" w:sz="4" w:space="0" w:color="auto"/>
            </w:tcBorders>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shd w:val="clear" w:color="auto" w:fill="D9E2F3" w:themeFill="accent1" w:themeFillTint="33"/>
          </w:tcPr>
          <w:p w:rsidR="00242C5A" w:rsidRPr="00102560" w:rsidRDefault="00242C5A" w:rsidP="00242C5A">
            <w:pPr>
              <w:pStyle w:val="DHHStabletext"/>
              <w:rPr>
                <w:sz w:val="18"/>
              </w:rPr>
            </w:pPr>
            <w:r w:rsidRPr="00102560">
              <w:rPr>
                <w:sz w:val="18"/>
              </w:rPr>
              <w:t>Molluscum contagiosum</w:t>
            </w:r>
          </w:p>
        </w:tc>
        <w:tc>
          <w:tcPr>
            <w:tcW w:w="3780" w:type="dxa"/>
            <w:shd w:val="clear" w:color="auto" w:fill="D9E2F3" w:themeFill="accent1" w:themeFillTint="33"/>
          </w:tcPr>
          <w:p w:rsidR="00242C5A" w:rsidRPr="00102560" w:rsidRDefault="00242C5A" w:rsidP="00242C5A">
            <w:pPr>
              <w:pStyle w:val="DHHStabletext"/>
              <w:rPr>
                <w:sz w:val="18"/>
              </w:rPr>
            </w:pPr>
            <w:r w:rsidRPr="00102560">
              <w:rPr>
                <w:sz w:val="18"/>
              </w:rPr>
              <w:t>Exclusion is not necessary</w:t>
            </w:r>
          </w:p>
        </w:tc>
        <w:tc>
          <w:tcPr>
            <w:tcW w:w="4053" w:type="dxa"/>
            <w:shd w:val="clear" w:color="auto" w:fill="D9E2F3" w:themeFill="accent1" w:themeFillTint="33"/>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 xml:space="preserve">Pertussis </w:t>
            </w:r>
            <w:r w:rsidRPr="00102560">
              <w:rPr>
                <w:sz w:val="18"/>
              </w:rPr>
              <w:br/>
              <w:t>(Whooping cough)</w:t>
            </w:r>
          </w:p>
        </w:tc>
        <w:tc>
          <w:tcPr>
            <w:tcW w:w="3780" w:type="dxa"/>
          </w:tcPr>
          <w:p w:rsidR="00242C5A" w:rsidRPr="00102560" w:rsidRDefault="00242C5A" w:rsidP="00242C5A">
            <w:pPr>
              <w:pStyle w:val="DHHStabletext"/>
              <w:rPr>
                <w:sz w:val="18"/>
              </w:rPr>
            </w:pPr>
            <w:r w:rsidRPr="00102560">
              <w:rPr>
                <w:sz w:val="18"/>
              </w:rPr>
              <w:t>Exclude the child for 21 days after the onset of cough or until they have completed 5 days of a course of antibiotic treatment</w:t>
            </w:r>
          </w:p>
        </w:tc>
        <w:tc>
          <w:tcPr>
            <w:tcW w:w="4053" w:type="dxa"/>
          </w:tcPr>
          <w:p w:rsidR="00242C5A" w:rsidRPr="00102560" w:rsidRDefault="00242C5A" w:rsidP="00242C5A">
            <w:pPr>
              <w:pStyle w:val="DHHStabletext"/>
              <w:rPr>
                <w:sz w:val="18"/>
              </w:rPr>
            </w:pPr>
            <w:r w:rsidRPr="00102560">
              <w:rPr>
                <w:sz w:val="18"/>
              </w:rPr>
              <w:t>Contacts aged less than 7 years in the same room as the case who have not received three effective doses of pertussis vaccine should be excluded for 14 days after the last exposure to the infectious case, or until they have taken 5 days of a course of effective antibiotic treatment</w:t>
            </w:r>
          </w:p>
        </w:tc>
      </w:tr>
      <w:tr w:rsidR="00242C5A" w:rsidRPr="00102560" w:rsidTr="00EA724A">
        <w:tc>
          <w:tcPr>
            <w:tcW w:w="2657" w:type="dxa"/>
          </w:tcPr>
          <w:p w:rsidR="00242C5A" w:rsidRPr="00102560" w:rsidRDefault="00242C5A" w:rsidP="00242C5A">
            <w:pPr>
              <w:pStyle w:val="DHHStabletext"/>
              <w:rPr>
                <w:sz w:val="18"/>
              </w:rPr>
            </w:pPr>
            <w:r w:rsidRPr="00102560">
              <w:rPr>
                <w:sz w:val="18"/>
              </w:rPr>
              <w:br w:type="page"/>
              <w:t>Poliovirus infection</w:t>
            </w:r>
          </w:p>
        </w:tc>
        <w:tc>
          <w:tcPr>
            <w:tcW w:w="3780" w:type="dxa"/>
          </w:tcPr>
          <w:p w:rsidR="00242C5A" w:rsidRPr="00102560" w:rsidRDefault="00242C5A" w:rsidP="00242C5A">
            <w:pPr>
              <w:pStyle w:val="DHHStabletext"/>
              <w:rPr>
                <w:sz w:val="18"/>
              </w:rPr>
            </w:pPr>
            <w:r w:rsidRPr="00102560">
              <w:rPr>
                <w:sz w:val="18"/>
              </w:rPr>
              <w:t>Exclude for at least 14 days from onset.  Re</w:t>
            </w:r>
            <w:r w:rsidRPr="00102560">
              <w:rPr>
                <w:sz w:val="18"/>
              </w:rPr>
              <w:noBreakHyphen/>
              <w:t>admit after receiving medical certificate of recovery</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Ringworm, scabies, pediculosis (head lice)</w:t>
            </w:r>
          </w:p>
        </w:tc>
        <w:tc>
          <w:tcPr>
            <w:tcW w:w="3780" w:type="dxa"/>
          </w:tcPr>
          <w:p w:rsidR="00242C5A" w:rsidRPr="00102560" w:rsidRDefault="00242C5A" w:rsidP="00242C5A">
            <w:pPr>
              <w:pStyle w:val="DHHStabletext"/>
              <w:rPr>
                <w:sz w:val="18"/>
              </w:rPr>
            </w:pPr>
            <w:r w:rsidRPr="00102560">
              <w:rPr>
                <w:sz w:val="18"/>
              </w:rPr>
              <w:t>Exclude until the day after appropriate treatment has commenced</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 xml:space="preserve">Rubella </w:t>
            </w:r>
            <w:r w:rsidRPr="00102560">
              <w:rPr>
                <w:sz w:val="18"/>
              </w:rPr>
              <w:br/>
              <w:t>(German measles)</w:t>
            </w:r>
          </w:p>
        </w:tc>
        <w:tc>
          <w:tcPr>
            <w:tcW w:w="3780" w:type="dxa"/>
          </w:tcPr>
          <w:p w:rsidR="00242C5A" w:rsidRPr="00102560" w:rsidRDefault="00242C5A" w:rsidP="00242C5A">
            <w:pPr>
              <w:pStyle w:val="DHHStabletext"/>
              <w:rPr>
                <w:sz w:val="18"/>
              </w:rPr>
            </w:pPr>
            <w:r w:rsidRPr="00102560">
              <w:rPr>
                <w:sz w:val="18"/>
              </w:rPr>
              <w:t>Exclude until fully recovered or for at least four days after the onset of rash</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bCs/>
                <w:sz w:val="18"/>
              </w:rPr>
              <w:t>Severe Acute Respiratory Syndrome (SARS)</w:t>
            </w:r>
          </w:p>
        </w:tc>
        <w:tc>
          <w:tcPr>
            <w:tcW w:w="3780" w:type="dxa"/>
          </w:tcPr>
          <w:p w:rsidR="00242C5A" w:rsidRPr="00102560" w:rsidRDefault="00242C5A" w:rsidP="00242C5A">
            <w:pPr>
              <w:pStyle w:val="DHHStabletext"/>
              <w:rPr>
                <w:sz w:val="18"/>
              </w:rPr>
            </w:pPr>
            <w:r w:rsidRPr="00102560">
              <w:rPr>
                <w:sz w:val="18"/>
              </w:rPr>
              <w:t>Exclude until medical certificate of recovery is produced</w:t>
            </w:r>
          </w:p>
        </w:tc>
        <w:tc>
          <w:tcPr>
            <w:tcW w:w="4053" w:type="dxa"/>
          </w:tcPr>
          <w:p w:rsidR="00242C5A" w:rsidRPr="00102560" w:rsidRDefault="00242C5A" w:rsidP="00242C5A">
            <w:pPr>
              <w:pStyle w:val="DHHStabletext"/>
              <w:rPr>
                <w:sz w:val="18"/>
              </w:rPr>
            </w:pPr>
            <w:r w:rsidRPr="00102560">
              <w:rPr>
                <w:sz w:val="18"/>
              </w:rPr>
              <w:t xml:space="preserve">Not excluded unless considered necessary by the </w:t>
            </w:r>
            <w:r w:rsidR="00B562A4" w:rsidRPr="00102560">
              <w:rPr>
                <w:sz w:val="18"/>
              </w:rPr>
              <w:t>Chief Health Officer</w:t>
            </w:r>
          </w:p>
        </w:tc>
      </w:tr>
      <w:tr w:rsidR="00242C5A" w:rsidRPr="00102560" w:rsidTr="00EA724A">
        <w:tc>
          <w:tcPr>
            <w:tcW w:w="2657" w:type="dxa"/>
            <w:shd w:val="clear" w:color="auto" w:fill="auto"/>
          </w:tcPr>
          <w:p w:rsidR="00242C5A" w:rsidRPr="00102560" w:rsidRDefault="00242C5A" w:rsidP="00242C5A">
            <w:pPr>
              <w:pStyle w:val="DHHStabletext"/>
              <w:rPr>
                <w:sz w:val="18"/>
              </w:rPr>
            </w:pPr>
            <w:r w:rsidRPr="00102560">
              <w:rPr>
                <w:bCs/>
                <w:sz w:val="18"/>
              </w:rPr>
              <w:t>Shiga</w:t>
            </w:r>
            <w:r w:rsidR="00C54BD3">
              <w:rPr>
                <w:bCs/>
                <w:sz w:val="18"/>
              </w:rPr>
              <w:t xml:space="preserve"> </w:t>
            </w:r>
            <w:r w:rsidRPr="00102560">
              <w:rPr>
                <w:bCs/>
                <w:sz w:val="18"/>
              </w:rPr>
              <w:t xml:space="preserve">toxin or </w:t>
            </w:r>
            <w:proofErr w:type="spellStart"/>
            <w:r w:rsidRPr="00102560">
              <w:rPr>
                <w:bCs/>
                <w:sz w:val="18"/>
              </w:rPr>
              <w:t>Verotoxin</w:t>
            </w:r>
            <w:proofErr w:type="spellEnd"/>
            <w:r w:rsidRPr="00102560">
              <w:rPr>
                <w:bCs/>
                <w:sz w:val="18"/>
              </w:rPr>
              <w:t xml:space="preserve"> producing </w:t>
            </w:r>
            <w:r w:rsidRPr="00102560">
              <w:rPr>
                <w:bCs/>
                <w:i/>
                <w:iCs/>
                <w:sz w:val="18"/>
              </w:rPr>
              <w:t>Escherichia coli</w:t>
            </w:r>
            <w:r w:rsidRPr="00102560">
              <w:rPr>
                <w:bCs/>
                <w:sz w:val="18"/>
              </w:rPr>
              <w:t xml:space="preserve"> (STEC or VTEC)</w:t>
            </w:r>
          </w:p>
        </w:tc>
        <w:tc>
          <w:tcPr>
            <w:tcW w:w="3780" w:type="dxa"/>
            <w:shd w:val="clear" w:color="auto" w:fill="auto"/>
          </w:tcPr>
          <w:p w:rsidR="00242C5A" w:rsidRPr="00102560" w:rsidRDefault="00242C5A" w:rsidP="00242C5A">
            <w:pPr>
              <w:pStyle w:val="DHHStabletext"/>
              <w:rPr>
                <w:sz w:val="18"/>
              </w:rPr>
            </w:pPr>
            <w:r w:rsidRPr="00102560">
              <w:rPr>
                <w:sz w:val="18"/>
                <w:lang w:val="en-US"/>
              </w:rPr>
              <w:t xml:space="preserve">Exclude if required by the </w:t>
            </w:r>
            <w:r w:rsidR="00B562A4" w:rsidRPr="00102560">
              <w:rPr>
                <w:sz w:val="18"/>
                <w:lang w:val="en-US"/>
              </w:rPr>
              <w:t>Chief Health officer</w:t>
            </w:r>
            <w:r w:rsidRPr="00102560">
              <w:rPr>
                <w:sz w:val="18"/>
                <w:lang w:val="en-US"/>
              </w:rPr>
              <w:t xml:space="preserve"> and only for the period specified by the </w:t>
            </w:r>
            <w:r w:rsidR="00B562A4" w:rsidRPr="00102560">
              <w:rPr>
                <w:sz w:val="18"/>
                <w:lang w:val="en-US"/>
              </w:rPr>
              <w:t>Chief Health Officer</w:t>
            </w:r>
          </w:p>
        </w:tc>
        <w:tc>
          <w:tcPr>
            <w:tcW w:w="4053" w:type="dxa"/>
            <w:shd w:val="clear" w:color="auto" w:fill="auto"/>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Borders>
              <w:bottom w:val="single" w:sz="4" w:space="0" w:color="auto"/>
            </w:tcBorders>
          </w:tcPr>
          <w:p w:rsidR="00242C5A" w:rsidRPr="00102560" w:rsidRDefault="00242C5A" w:rsidP="00242C5A">
            <w:pPr>
              <w:pStyle w:val="DHHStabletext"/>
              <w:rPr>
                <w:sz w:val="18"/>
              </w:rPr>
            </w:pPr>
            <w:r w:rsidRPr="00102560">
              <w:rPr>
                <w:sz w:val="18"/>
              </w:rPr>
              <w:t xml:space="preserve">Streptococcal infection </w:t>
            </w:r>
            <w:r w:rsidRPr="00102560">
              <w:rPr>
                <w:sz w:val="18"/>
              </w:rPr>
              <w:br/>
              <w:t>(including scarlet fever)</w:t>
            </w:r>
          </w:p>
        </w:tc>
        <w:tc>
          <w:tcPr>
            <w:tcW w:w="3780" w:type="dxa"/>
          </w:tcPr>
          <w:p w:rsidR="00242C5A" w:rsidRPr="00102560" w:rsidRDefault="00242C5A" w:rsidP="00242C5A">
            <w:pPr>
              <w:pStyle w:val="DHHStabletext"/>
              <w:rPr>
                <w:sz w:val="18"/>
              </w:rPr>
            </w:pPr>
            <w:r w:rsidRPr="00102560">
              <w:rPr>
                <w:sz w:val="18"/>
              </w:rPr>
              <w:t>Exclude until the child has received antibiotic treatment for at least 24 hours and the child feels well</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shd w:val="clear" w:color="auto" w:fill="D9E2F3" w:themeFill="accent1" w:themeFillTint="33"/>
          </w:tcPr>
          <w:p w:rsidR="00242C5A" w:rsidRPr="00102560" w:rsidRDefault="00242C5A" w:rsidP="00242C5A">
            <w:pPr>
              <w:pStyle w:val="DHHStabletext"/>
              <w:rPr>
                <w:sz w:val="18"/>
              </w:rPr>
            </w:pPr>
            <w:r w:rsidRPr="00102560">
              <w:rPr>
                <w:sz w:val="18"/>
              </w:rPr>
              <w:t>Tuberculosis (excluding latent tuberculosis)</w:t>
            </w:r>
            <w:r w:rsidR="006E6AE1" w:rsidRPr="00102560">
              <w:rPr>
                <w:rStyle w:val="FootnoteReference"/>
                <w:sz w:val="18"/>
              </w:rPr>
              <w:footnoteReference w:id="3"/>
            </w:r>
          </w:p>
        </w:tc>
        <w:tc>
          <w:tcPr>
            <w:tcW w:w="3780" w:type="dxa"/>
          </w:tcPr>
          <w:p w:rsidR="00242C5A" w:rsidRPr="00102560" w:rsidRDefault="00242C5A" w:rsidP="00242C5A">
            <w:pPr>
              <w:pStyle w:val="DHHStabletext"/>
              <w:rPr>
                <w:sz w:val="18"/>
              </w:rPr>
            </w:pPr>
            <w:r w:rsidRPr="00102560">
              <w:rPr>
                <w:sz w:val="18"/>
              </w:rPr>
              <w:t>Exclude until receipt of a medical certificate from the treating physician stating that the child is not considered to be infectious</w:t>
            </w:r>
          </w:p>
        </w:tc>
        <w:tc>
          <w:tcPr>
            <w:tcW w:w="4053" w:type="dxa"/>
          </w:tcPr>
          <w:p w:rsidR="00242C5A" w:rsidRPr="00102560" w:rsidRDefault="00242C5A" w:rsidP="00242C5A">
            <w:pPr>
              <w:pStyle w:val="DHHStabletext"/>
              <w:rPr>
                <w:sz w:val="18"/>
              </w:rPr>
            </w:pPr>
            <w:r w:rsidRPr="00102560">
              <w:rPr>
                <w:sz w:val="18"/>
              </w:rPr>
              <w:t>Not excluded</w:t>
            </w:r>
          </w:p>
        </w:tc>
      </w:tr>
      <w:tr w:rsidR="00242C5A" w:rsidRPr="00102560" w:rsidTr="00EA724A">
        <w:tc>
          <w:tcPr>
            <w:tcW w:w="2657" w:type="dxa"/>
          </w:tcPr>
          <w:p w:rsidR="00242C5A" w:rsidRPr="00102560" w:rsidRDefault="00242C5A" w:rsidP="00242C5A">
            <w:pPr>
              <w:pStyle w:val="DHHStabletext"/>
              <w:rPr>
                <w:sz w:val="18"/>
              </w:rPr>
            </w:pPr>
            <w:r w:rsidRPr="00102560">
              <w:rPr>
                <w:sz w:val="18"/>
              </w:rPr>
              <w:t xml:space="preserve">Typhoid fever </w:t>
            </w:r>
            <w:r w:rsidRPr="00102560">
              <w:rPr>
                <w:sz w:val="18"/>
              </w:rPr>
              <w:br/>
              <w:t>(including paratyphoid fever)</w:t>
            </w:r>
          </w:p>
        </w:tc>
        <w:tc>
          <w:tcPr>
            <w:tcW w:w="3780" w:type="dxa"/>
          </w:tcPr>
          <w:p w:rsidR="00242C5A" w:rsidRPr="00102560" w:rsidRDefault="00242C5A" w:rsidP="00242C5A">
            <w:pPr>
              <w:pStyle w:val="DHHStabletext"/>
              <w:rPr>
                <w:sz w:val="18"/>
              </w:rPr>
            </w:pPr>
            <w:r w:rsidRPr="00102560">
              <w:rPr>
                <w:sz w:val="18"/>
              </w:rPr>
              <w:t xml:space="preserve">Exclude until approval to return has been given by the </w:t>
            </w:r>
            <w:r w:rsidR="00B562A4" w:rsidRPr="00102560">
              <w:rPr>
                <w:sz w:val="18"/>
              </w:rPr>
              <w:t>Chief Health Officer</w:t>
            </w:r>
          </w:p>
        </w:tc>
        <w:tc>
          <w:tcPr>
            <w:tcW w:w="4053" w:type="dxa"/>
          </w:tcPr>
          <w:p w:rsidR="00242C5A" w:rsidRPr="00102560" w:rsidRDefault="00242C5A" w:rsidP="00242C5A">
            <w:pPr>
              <w:pStyle w:val="DHHStabletext"/>
              <w:rPr>
                <w:sz w:val="18"/>
              </w:rPr>
            </w:pPr>
            <w:r w:rsidRPr="00102560">
              <w:rPr>
                <w:sz w:val="18"/>
              </w:rPr>
              <w:t xml:space="preserve">Not excluded unless considered necessary by the </w:t>
            </w:r>
            <w:r w:rsidR="00D60A6E">
              <w:rPr>
                <w:sz w:val="18"/>
              </w:rPr>
              <w:t>Chief Health Officer</w:t>
            </w:r>
            <w:bookmarkStart w:id="6" w:name="_GoBack"/>
            <w:bookmarkEnd w:id="6"/>
          </w:p>
        </w:tc>
      </w:tr>
      <w:bookmarkEnd w:id="5"/>
    </w:tbl>
    <w:p w:rsidR="00242C5A" w:rsidRPr="009358AE" w:rsidRDefault="00242C5A" w:rsidP="00242C5A">
      <w:pPr>
        <w:suppressLineNumbers w:val="0"/>
        <w:overflowPunct/>
        <w:autoSpaceDE/>
        <w:autoSpaceDN/>
        <w:adjustRightInd/>
        <w:spacing w:before="0"/>
        <w:textAlignment w:val="auto"/>
        <w:rPr>
          <w:b/>
          <w:caps/>
          <w:sz w:val="12"/>
          <w:szCs w:val="22"/>
        </w:rPr>
      </w:pPr>
    </w:p>
    <w:p w:rsidR="00EA724A" w:rsidRPr="009358AE" w:rsidRDefault="00EA724A" w:rsidP="00242C5A">
      <w:pPr>
        <w:suppressLineNumbers w:val="0"/>
        <w:overflowPunct/>
        <w:autoSpaceDE/>
        <w:autoSpaceDN/>
        <w:adjustRightInd/>
        <w:spacing w:before="0"/>
        <w:textAlignment w:val="auto"/>
        <w:rPr>
          <w:b/>
          <w:caps/>
          <w:sz w:val="12"/>
          <w:szCs w:val="22"/>
        </w:rPr>
      </w:pPr>
    </w:p>
    <w:p w:rsidR="00EA724A" w:rsidRPr="00254F58" w:rsidRDefault="00EA724A" w:rsidP="00EA724A">
      <w:pPr>
        <w:pStyle w:val="DHHSaccessibilitypara"/>
        <w:pBdr>
          <w:top w:val="single" w:sz="4" w:space="1" w:color="auto"/>
          <w:left w:val="single" w:sz="4" w:space="4" w:color="auto"/>
          <w:bottom w:val="single" w:sz="4" w:space="1" w:color="auto"/>
          <w:right w:val="single" w:sz="4" w:space="4" w:color="auto"/>
        </w:pBdr>
      </w:pPr>
      <w:r>
        <w:t xml:space="preserve">To </w:t>
      </w:r>
      <w:r w:rsidRPr="00254F58">
        <w:t xml:space="preserve">receive this publication in </w:t>
      </w:r>
      <w:r w:rsidRPr="00770F37">
        <w:t>an</w:t>
      </w:r>
      <w:r w:rsidRPr="00254F58">
        <w:t xml:space="preserve"> accessible format phone </w:t>
      </w:r>
      <w:r>
        <w:t>1300 651 160</w:t>
      </w:r>
      <w:r w:rsidRPr="00254F58">
        <w:t xml:space="preserve">, using the National Relay Service 13 36 77 if required, or email </w:t>
      </w:r>
      <w:hyperlink r:id="rId21" w:history="1">
        <w:r w:rsidR="00885E27" w:rsidRPr="00BA197B">
          <w:rPr>
            <w:rStyle w:val="Hyperlink"/>
          </w:rPr>
          <w:t>infectious.diseases@dhhs.vic.gov.au</w:t>
        </w:r>
      </w:hyperlink>
      <w:r w:rsidR="00885E27">
        <w:t xml:space="preserve"> </w:t>
      </w:r>
    </w:p>
    <w:p w:rsidR="00EA724A" w:rsidRPr="00254F58" w:rsidRDefault="00EA724A" w:rsidP="00EA724A">
      <w:pPr>
        <w:pStyle w:val="DHHSbody"/>
        <w:pBdr>
          <w:top w:val="single" w:sz="4" w:space="1" w:color="auto"/>
          <w:left w:val="single" w:sz="4" w:space="4" w:color="auto"/>
          <w:bottom w:val="single" w:sz="4" w:space="1" w:color="auto"/>
          <w:right w:val="single" w:sz="4" w:space="4" w:color="auto"/>
        </w:pBdr>
      </w:pPr>
      <w:r w:rsidRPr="00254F58">
        <w:t>Authorised and published by the Victorian Governmen</w:t>
      </w:r>
      <w:r>
        <w:t>t, 1 Treasury Place, Melbourne.</w:t>
      </w:r>
    </w:p>
    <w:p w:rsidR="00EA724A" w:rsidRDefault="00EA724A" w:rsidP="00EA724A">
      <w:pPr>
        <w:pStyle w:val="DHHSbody"/>
        <w:pBdr>
          <w:top w:val="single" w:sz="4" w:space="1" w:color="auto"/>
          <w:left w:val="single" w:sz="4" w:space="4" w:color="auto"/>
          <w:bottom w:val="single" w:sz="4" w:space="1" w:color="auto"/>
          <w:right w:val="single" w:sz="4" w:space="4" w:color="auto"/>
        </w:pBdr>
      </w:pPr>
      <w:r w:rsidRPr="00254F58">
        <w:t xml:space="preserve">© State of </w:t>
      </w:r>
      <w:r>
        <w:t>Victoria, Department of Health and</w:t>
      </w:r>
      <w:r w:rsidRPr="00254F58">
        <w:t xml:space="preserve"> Human Services</w:t>
      </w:r>
      <w:r>
        <w:t xml:space="preserve"> December 2019.</w:t>
      </w:r>
    </w:p>
    <w:p w:rsidR="00EA724A" w:rsidRPr="00254F58" w:rsidRDefault="00EA724A" w:rsidP="00EA724A">
      <w:pPr>
        <w:pStyle w:val="DHHSbody"/>
        <w:pBdr>
          <w:top w:val="single" w:sz="4" w:space="1" w:color="auto"/>
          <w:left w:val="single" w:sz="4" w:space="4" w:color="auto"/>
          <w:bottom w:val="single" w:sz="4" w:space="1" w:color="auto"/>
          <w:right w:val="single" w:sz="4" w:space="4" w:color="auto"/>
        </w:pBdr>
      </w:pPr>
      <w:r>
        <w:t>Please note that any advice contained in this publication is for general guidance only. The Department of Health and Human services does not accept any liability for any loss or damage suffered as a result of reliance on the advice contained in this publication. Nothing in this publication should replace seeking appropriate legal advice.</w:t>
      </w:r>
    </w:p>
    <w:p w:rsidR="00EA724A" w:rsidRPr="00254F58" w:rsidRDefault="00EA724A" w:rsidP="00EA724A">
      <w:pPr>
        <w:pStyle w:val="DHHSbody"/>
        <w:pBdr>
          <w:top w:val="single" w:sz="4" w:space="1" w:color="auto"/>
          <w:left w:val="single" w:sz="4" w:space="4" w:color="auto"/>
          <w:bottom w:val="single" w:sz="4" w:space="1" w:color="auto"/>
          <w:right w:val="single" w:sz="4" w:space="4" w:color="auto"/>
        </w:pBdr>
      </w:pPr>
      <w:r w:rsidRPr="00254F58">
        <w:t>ISBN/ISSN</w:t>
      </w:r>
      <w:r w:rsidRPr="00F61A9F">
        <w:rPr>
          <w:color w:val="008950"/>
        </w:rPr>
        <w:t xml:space="preserve"> </w:t>
      </w:r>
      <w:r>
        <w:rPr>
          <w:rFonts w:cs="Arial"/>
          <w:color w:val="000000"/>
        </w:rPr>
        <w:t>978-1-76069-091-5</w:t>
      </w:r>
    </w:p>
    <w:p w:rsidR="00EA724A" w:rsidRPr="00EA724A" w:rsidRDefault="00EA724A" w:rsidP="00EA724A">
      <w:pPr>
        <w:pStyle w:val="DHHSbody"/>
        <w:pBdr>
          <w:top w:val="single" w:sz="4" w:space="1" w:color="auto"/>
          <w:left w:val="single" w:sz="4" w:space="4" w:color="auto"/>
          <w:bottom w:val="single" w:sz="4" w:space="1" w:color="auto"/>
          <w:right w:val="single" w:sz="4" w:space="4" w:color="auto"/>
        </w:pBdr>
        <w:rPr>
          <w:color w:val="3366FF"/>
          <w:u w:val="dotted"/>
        </w:rPr>
      </w:pPr>
      <w:r w:rsidRPr="00254F58">
        <w:rPr>
          <w:szCs w:val="19"/>
        </w:rPr>
        <w:t>Available at</w:t>
      </w:r>
      <w:r>
        <w:rPr>
          <w:szCs w:val="19"/>
        </w:rPr>
        <w:t xml:space="preserve">: </w:t>
      </w:r>
      <w:hyperlink r:id="rId22" w:history="1">
        <w:r>
          <w:rPr>
            <w:rStyle w:val="Hyperlink"/>
          </w:rPr>
          <w:t>www2.health.vic.gov.au/about/legislation/public-health-and-wellbeing-act/regulation-review</w:t>
        </w:r>
      </w:hyperlink>
    </w:p>
    <w:sectPr w:rsidR="00EA724A" w:rsidRPr="00EA724A" w:rsidSect="00EA724A">
      <w:type w:val="continuous"/>
      <w:pgSz w:w="11906" w:h="16838" w:code="9"/>
      <w:pgMar w:top="1276" w:right="851" w:bottom="1134" w:left="851" w:header="567" w:footer="510" w:gutter="0"/>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30" w:rsidRDefault="00CE6130">
      <w:r>
        <w:separator/>
      </w:r>
    </w:p>
  </w:endnote>
  <w:endnote w:type="continuationSeparator" w:id="0">
    <w:p w:rsidR="00CE6130" w:rsidRDefault="00CE6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0" w:rsidRDefault="00C27C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F65AA9" w:rsidRDefault="00CE6130"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2" name="Picture 2"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0" w:rsidRDefault="00C27CA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A11421" w:rsidRDefault="00AD2420" w:rsidP="0051568D">
    <w:pPr>
      <w:pStyle w:val="DHHSfooter"/>
    </w:pPr>
    <w:r>
      <w:t>Immunisations and exclusions – Public Health and Wellbeing Regulations 2019</w:t>
    </w:r>
    <w:r w:rsidR="009D70A4" w:rsidRPr="00A11421">
      <w:tab/>
    </w:r>
    <w:r w:rsidR="007079EA" w:rsidRPr="00A11421">
      <w:fldChar w:fldCharType="begin"/>
    </w:r>
    <w:r w:rsidR="009D70A4" w:rsidRPr="00A11421">
      <w:instrText xml:space="preserve"> PAGE </w:instrText>
    </w:r>
    <w:r w:rsidR="007079EA" w:rsidRPr="00A11421">
      <w:fldChar w:fldCharType="separate"/>
    </w:r>
    <w:r w:rsidR="00E55CF4">
      <w:rPr>
        <w:noProof/>
      </w:rPr>
      <w:t>2</w:t>
    </w:r>
    <w:r w:rsidR="007079EA" w:rsidRPr="00A1142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30" w:rsidRDefault="00CE6130" w:rsidP="002862F1">
      <w:r>
        <w:separator/>
      </w:r>
    </w:p>
  </w:footnote>
  <w:footnote w:type="continuationSeparator" w:id="0">
    <w:p w:rsidR="00CE6130" w:rsidRDefault="00CE6130">
      <w:r>
        <w:continuationSeparator/>
      </w:r>
    </w:p>
  </w:footnote>
  <w:footnote w:id="1">
    <w:p w:rsidR="00E03519" w:rsidRDefault="00E03519">
      <w:pPr>
        <w:pStyle w:val="FootnoteText"/>
      </w:pPr>
      <w:r>
        <w:rPr>
          <w:rStyle w:val="FootnoteReference"/>
        </w:rPr>
        <w:footnoteRef/>
      </w:r>
      <w:r>
        <w:t xml:space="preserve"> Children’s services is a broad term used to describe ‘education and care service premises’ and ‘children’s services centre</w:t>
      </w:r>
      <w:r w:rsidR="00E2514E">
        <w:t>s</w:t>
      </w:r>
      <w:r>
        <w:t>’.</w:t>
      </w:r>
    </w:p>
  </w:footnote>
  <w:footnote w:id="2">
    <w:p w:rsidR="00490FD7" w:rsidRDefault="00490FD7">
      <w:pPr>
        <w:pStyle w:val="FootnoteText"/>
      </w:pPr>
      <w:r>
        <w:rPr>
          <w:rStyle w:val="FootnoteReference"/>
        </w:rPr>
        <w:footnoteRef/>
      </w:r>
      <w:r>
        <w:t xml:space="preserve"> </w:t>
      </w:r>
      <w:r w:rsidR="00A67213" w:rsidRPr="009358AE">
        <w:rPr>
          <w:sz w:val="18"/>
        </w:rPr>
        <w:t>D</w:t>
      </w:r>
      <w:r w:rsidRPr="009358AE">
        <w:rPr>
          <w:sz w:val="18"/>
        </w:rPr>
        <w:t xml:space="preserve">iarrhoeal illness includes instances where certain pathogens are identified including </w:t>
      </w:r>
      <w:r w:rsidR="00B562A4" w:rsidRPr="009358AE">
        <w:rPr>
          <w:sz w:val="18"/>
        </w:rPr>
        <w:t>A</w:t>
      </w:r>
      <w:r w:rsidRPr="009358AE">
        <w:rPr>
          <w:sz w:val="18"/>
        </w:rPr>
        <w:t>mebiasis (</w:t>
      </w:r>
      <w:r w:rsidRPr="009358AE">
        <w:rPr>
          <w:i/>
          <w:sz w:val="18"/>
        </w:rPr>
        <w:t>Entamoeba histolytica</w:t>
      </w:r>
      <w:r w:rsidRPr="009358AE">
        <w:rPr>
          <w:sz w:val="18"/>
        </w:rPr>
        <w:t>), Campylobacter spp., Salmonella spp., Shigella spp. and intestinal worms, but is not limited to infection with these pathogens.</w:t>
      </w:r>
    </w:p>
  </w:footnote>
  <w:footnote w:id="3">
    <w:p w:rsidR="006E6AE1" w:rsidRDefault="006E6AE1">
      <w:pPr>
        <w:pStyle w:val="FootnoteText"/>
      </w:pPr>
      <w:r>
        <w:rPr>
          <w:rStyle w:val="FootnoteReference"/>
        </w:rPr>
        <w:footnoteRef/>
      </w:r>
      <w:r>
        <w:t xml:space="preserve"> </w:t>
      </w:r>
      <w:r w:rsidRPr="009358AE">
        <w:rPr>
          <w:sz w:val="18"/>
        </w:rPr>
        <w:t>This means that exclusion of cases and contacts is not necessary for latent tuberculosis.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0" w:rsidRDefault="00C27C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0" w:rsidRDefault="00C27C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0" w:rsidRDefault="00C27CA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0" w:rsidRDefault="00C27CA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A4" w:rsidRPr="0051568D" w:rsidRDefault="009D70A4" w:rsidP="0051568D">
    <w:pPr>
      <w:pStyle w:val="DHHS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A0" w:rsidRDefault="00C27C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211BBB"/>
    <w:multiLevelType w:val="hybridMultilevel"/>
    <w:tmpl w:val="0F98BA98"/>
    <w:lvl w:ilvl="0" w:tplc="332A1D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8D43DB"/>
    <w:multiLevelType w:val="multilevel"/>
    <w:tmpl w:val="4B4E7622"/>
    <w:numStyleLink w:val="ZZNumbers"/>
  </w:abstractNum>
  <w:abstractNum w:abstractNumId="4">
    <w:nsid w:val="16666FCA"/>
    <w:multiLevelType w:val="hybridMultilevel"/>
    <w:tmpl w:val="DCA2E99A"/>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8F63F5A"/>
    <w:multiLevelType w:val="hybridMultilevel"/>
    <w:tmpl w:val="D3341E6C"/>
    <w:lvl w:ilvl="0" w:tplc="56E2B8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4"/>
  </w:num>
  <w:num w:numId="10">
    <w:abstractNumId w:val="6"/>
  </w:num>
  <w:num w:numId="11">
    <w:abstractNumId w:val="2"/>
  </w:num>
  <w:num w:numId="12">
    <w:abstractNumId w:val="7"/>
  </w:num>
  <w:num w:numId="13">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004"/>
  <w:stylePaneSortMethod w:val="0000"/>
  <w:defaultTabStop w:val="720"/>
  <w:drawingGridHorizontalSpacing w:val="181"/>
  <w:drawingGridVerticalSpacing w:val="181"/>
  <w:noPunctuationKerning/>
  <w:characterSpacingControl w:val="doNotCompress"/>
  <w:hdrShapeDefaults>
    <o:shapedefaults v:ext="edit" spidmax="43009"/>
  </w:hdrShapeDefaults>
  <w:footnotePr>
    <w:footnote w:id="-1"/>
    <w:footnote w:id="0"/>
  </w:footnotePr>
  <w:endnotePr>
    <w:endnote w:id="-1"/>
    <w:endnote w:id="0"/>
  </w:endnotePr>
  <w:compat/>
  <w:rsids>
    <w:rsidRoot w:val="00CE6130"/>
    <w:rsid w:val="000072B6"/>
    <w:rsid w:val="0001021B"/>
    <w:rsid w:val="00011CF3"/>
    <w:rsid w:val="00011D89"/>
    <w:rsid w:val="00024D89"/>
    <w:rsid w:val="000250B6"/>
    <w:rsid w:val="00033D81"/>
    <w:rsid w:val="00035FE9"/>
    <w:rsid w:val="00041BF0"/>
    <w:rsid w:val="0004536B"/>
    <w:rsid w:val="00046B68"/>
    <w:rsid w:val="000527DD"/>
    <w:rsid w:val="000578B2"/>
    <w:rsid w:val="00060959"/>
    <w:rsid w:val="000663CD"/>
    <w:rsid w:val="000733FE"/>
    <w:rsid w:val="00074219"/>
    <w:rsid w:val="00074ED5"/>
    <w:rsid w:val="00083FF5"/>
    <w:rsid w:val="0009113B"/>
    <w:rsid w:val="00094DA3"/>
    <w:rsid w:val="00096CD1"/>
    <w:rsid w:val="00096DAD"/>
    <w:rsid w:val="000A012C"/>
    <w:rsid w:val="000A0EB9"/>
    <w:rsid w:val="000A186C"/>
    <w:rsid w:val="000B23FD"/>
    <w:rsid w:val="000B246E"/>
    <w:rsid w:val="000B543D"/>
    <w:rsid w:val="000B5BF7"/>
    <w:rsid w:val="000B6BC8"/>
    <w:rsid w:val="000B7B3E"/>
    <w:rsid w:val="000C42EA"/>
    <w:rsid w:val="000C4546"/>
    <w:rsid w:val="000D1242"/>
    <w:rsid w:val="000D6AF4"/>
    <w:rsid w:val="000D7C20"/>
    <w:rsid w:val="000E2A6E"/>
    <w:rsid w:val="000E3CC7"/>
    <w:rsid w:val="000E6BD4"/>
    <w:rsid w:val="000F1F1E"/>
    <w:rsid w:val="000F2259"/>
    <w:rsid w:val="000F2877"/>
    <w:rsid w:val="000F5F74"/>
    <w:rsid w:val="00102560"/>
    <w:rsid w:val="0010392D"/>
    <w:rsid w:val="0010447F"/>
    <w:rsid w:val="00104FE3"/>
    <w:rsid w:val="0011412D"/>
    <w:rsid w:val="00120BD3"/>
    <w:rsid w:val="00122FEA"/>
    <w:rsid w:val="001232BD"/>
    <w:rsid w:val="00124ED5"/>
    <w:rsid w:val="001447B3"/>
    <w:rsid w:val="00152073"/>
    <w:rsid w:val="00156B74"/>
    <w:rsid w:val="00161939"/>
    <w:rsid w:val="00161AA0"/>
    <w:rsid w:val="00162093"/>
    <w:rsid w:val="001731CD"/>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3011"/>
    <w:rsid w:val="00216C03"/>
    <w:rsid w:val="00220C04"/>
    <w:rsid w:val="0022278D"/>
    <w:rsid w:val="0022701F"/>
    <w:rsid w:val="002333F5"/>
    <w:rsid w:val="00233724"/>
    <w:rsid w:val="00240324"/>
    <w:rsid w:val="00242C5A"/>
    <w:rsid w:val="002432E1"/>
    <w:rsid w:val="00246207"/>
    <w:rsid w:val="00246C5E"/>
    <w:rsid w:val="00251343"/>
    <w:rsid w:val="00253876"/>
    <w:rsid w:val="00254F58"/>
    <w:rsid w:val="002620BC"/>
    <w:rsid w:val="00262802"/>
    <w:rsid w:val="00263A90"/>
    <w:rsid w:val="0026408B"/>
    <w:rsid w:val="00267C3E"/>
    <w:rsid w:val="002709BB"/>
    <w:rsid w:val="00271177"/>
    <w:rsid w:val="002763B3"/>
    <w:rsid w:val="002802E3"/>
    <w:rsid w:val="0028213D"/>
    <w:rsid w:val="0028244E"/>
    <w:rsid w:val="002862F1"/>
    <w:rsid w:val="00291373"/>
    <w:rsid w:val="0029597D"/>
    <w:rsid w:val="002962C3"/>
    <w:rsid w:val="0029752B"/>
    <w:rsid w:val="002A483C"/>
    <w:rsid w:val="002B1729"/>
    <w:rsid w:val="002B43E0"/>
    <w:rsid w:val="002B4DD4"/>
    <w:rsid w:val="002B5277"/>
    <w:rsid w:val="002B5375"/>
    <w:rsid w:val="002B77C1"/>
    <w:rsid w:val="002C2728"/>
    <w:rsid w:val="002D12B2"/>
    <w:rsid w:val="002D251D"/>
    <w:rsid w:val="002D5006"/>
    <w:rsid w:val="002E01D0"/>
    <w:rsid w:val="002E161D"/>
    <w:rsid w:val="002E3100"/>
    <w:rsid w:val="002E6C95"/>
    <w:rsid w:val="002E7C36"/>
    <w:rsid w:val="002F2831"/>
    <w:rsid w:val="002F5F31"/>
    <w:rsid w:val="002F5F46"/>
    <w:rsid w:val="002F6399"/>
    <w:rsid w:val="00302216"/>
    <w:rsid w:val="00303E53"/>
    <w:rsid w:val="00306E5F"/>
    <w:rsid w:val="00307E14"/>
    <w:rsid w:val="00314054"/>
    <w:rsid w:val="00315641"/>
    <w:rsid w:val="00316F27"/>
    <w:rsid w:val="00327870"/>
    <w:rsid w:val="0033259D"/>
    <w:rsid w:val="003406C6"/>
    <w:rsid w:val="003418CC"/>
    <w:rsid w:val="003459BD"/>
    <w:rsid w:val="00350D38"/>
    <w:rsid w:val="00351B36"/>
    <w:rsid w:val="00357B4E"/>
    <w:rsid w:val="003744CF"/>
    <w:rsid w:val="00374717"/>
    <w:rsid w:val="0037676C"/>
    <w:rsid w:val="003829E5"/>
    <w:rsid w:val="003953BD"/>
    <w:rsid w:val="003956CC"/>
    <w:rsid w:val="00395C9A"/>
    <w:rsid w:val="003A6B67"/>
    <w:rsid w:val="003B15E6"/>
    <w:rsid w:val="003B2416"/>
    <w:rsid w:val="003C2045"/>
    <w:rsid w:val="003C43A1"/>
    <w:rsid w:val="003C4FC0"/>
    <w:rsid w:val="003C55F4"/>
    <w:rsid w:val="003C7A3F"/>
    <w:rsid w:val="003D2766"/>
    <w:rsid w:val="003D3E8F"/>
    <w:rsid w:val="003D6475"/>
    <w:rsid w:val="003E735A"/>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5C3E"/>
    <w:rsid w:val="004468B4"/>
    <w:rsid w:val="00450776"/>
    <w:rsid w:val="0045230A"/>
    <w:rsid w:val="00457337"/>
    <w:rsid w:val="0047372D"/>
    <w:rsid w:val="004743DD"/>
    <w:rsid w:val="00474CEA"/>
    <w:rsid w:val="00483968"/>
    <w:rsid w:val="00484F86"/>
    <w:rsid w:val="00486F63"/>
    <w:rsid w:val="00490746"/>
    <w:rsid w:val="00490852"/>
    <w:rsid w:val="00490FD7"/>
    <w:rsid w:val="00492F30"/>
    <w:rsid w:val="004946F4"/>
    <w:rsid w:val="0049487E"/>
    <w:rsid w:val="004A160D"/>
    <w:rsid w:val="004A3E81"/>
    <w:rsid w:val="004A5C62"/>
    <w:rsid w:val="004A707D"/>
    <w:rsid w:val="004B4D57"/>
    <w:rsid w:val="004C2F8C"/>
    <w:rsid w:val="004C6EEE"/>
    <w:rsid w:val="004C702B"/>
    <w:rsid w:val="004D016B"/>
    <w:rsid w:val="004D1B22"/>
    <w:rsid w:val="004D2827"/>
    <w:rsid w:val="004D2ED9"/>
    <w:rsid w:val="004D36F2"/>
    <w:rsid w:val="004E138F"/>
    <w:rsid w:val="004E4649"/>
    <w:rsid w:val="004E5C2B"/>
    <w:rsid w:val="004E65A8"/>
    <w:rsid w:val="004F00DD"/>
    <w:rsid w:val="004F2133"/>
    <w:rsid w:val="004F55F1"/>
    <w:rsid w:val="004F61A3"/>
    <w:rsid w:val="004F6936"/>
    <w:rsid w:val="004F75C4"/>
    <w:rsid w:val="00503DC6"/>
    <w:rsid w:val="00506F5D"/>
    <w:rsid w:val="005124D4"/>
    <w:rsid w:val="005126D0"/>
    <w:rsid w:val="0051568D"/>
    <w:rsid w:val="00525958"/>
    <w:rsid w:val="00526C15"/>
    <w:rsid w:val="00533CBB"/>
    <w:rsid w:val="00536499"/>
    <w:rsid w:val="00543903"/>
    <w:rsid w:val="00543F11"/>
    <w:rsid w:val="00547A95"/>
    <w:rsid w:val="00572031"/>
    <w:rsid w:val="00576E84"/>
    <w:rsid w:val="00582B8C"/>
    <w:rsid w:val="00582E8F"/>
    <w:rsid w:val="0058757E"/>
    <w:rsid w:val="005969D5"/>
    <w:rsid w:val="00596A4B"/>
    <w:rsid w:val="00597507"/>
    <w:rsid w:val="005B21B6"/>
    <w:rsid w:val="005B3A08"/>
    <w:rsid w:val="005B7A63"/>
    <w:rsid w:val="005C0955"/>
    <w:rsid w:val="005C3F67"/>
    <w:rsid w:val="005C49DA"/>
    <w:rsid w:val="005C50F3"/>
    <w:rsid w:val="005C5D91"/>
    <w:rsid w:val="005D07B8"/>
    <w:rsid w:val="005D310D"/>
    <w:rsid w:val="005D6597"/>
    <w:rsid w:val="005E14E7"/>
    <w:rsid w:val="005E26A3"/>
    <w:rsid w:val="005E447E"/>
    <w:rsid w:val="005F0775"/>
    <w:rsid w:val="005F0CF5"/>
    <w:rsid w:val="005F1196"/>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56961"/>
    <w:rsid w:val="006621D7"/>
    <w:rsid w:val="0066302A"/>
    <w:rsid w:val="00670597"/>
    <w:rsid w:val="006706D0"/>
    <w:rsid w:val="00671E68"/>
    <w:rsid w:val="00677574"/>
    <w:rsid w:val="00683398"/>
    <w:rsid w:val="0068454C"/>
    <w:rsid w:val="00691B62"/>
    <w:rsid w:val="00693D14"/>
    <w:rsid w:val="00695ED0"/>
    <w:rsid w:val="006A18C2"/>
    <w:rsid w:val="006A550A"/>
    <w:rsid w:val="006A6558"/>
    <w:rsid w:val="006B077C"/>
    <w:rsid w:val="006B6803"/>
    <w:rsid w:val="006D2A3F"/>
    <w:rsid w:val="006D2FBC"/>
    <w:rsid w:val="006D3156"/>
    <w:rsid w:val="006E138B"/>
    <w:rsid w:val="006E6AE1"/>
    <w:rsid w:val="006F1FDC"/>
    <w:rsid w:val="006F3982"/>
    <w:rsid w:val="00700479"/>
    <w:rsid w:val="007013EF"/>
    <w:rsid w:val="00701ADF"/>
    <w:rsid w:val="007079EA"/>
    <w:rsid w:val="007173CA"/>
    <w:rsid w:val="007216AA"/>
    <w:rsid w:val="00721AB5"/>
    <w:rsid w:val="00721DEF"/>
    <w:rsid w:val="00724A43"/>
    <w:rsid w:val="0072554C"/>
    <w:rsid w:val="007346E4"/>
    <w:rsid w:val="00740F22"/>
    <w:rsid w:val="00741F1A"/>
    <w:rsid w:val="007445EB"/>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29FD"/>
    <w:rsid w:val="00796E20"/>
    <w:rsid w:val="00797C32"/>
    <w:rsid w:val="007A2FB9"/>
    <w:rsid w:val="007B0914"/>
    <w:rsid w:val="007B1374"/>
    <w:rsid w:val="007B589F"/>
    <w:rsid w:val="007B6186"/>
    <w:rsid w:val="007B73BC"/>
    <w:rsid w:val="007C20B9"/>
    <w:rsid w:val="007C7301"/>
    <w:rsid w:val="007C7859"/>
    <w:rsid w:val="007D2BDE"/>
    <w:rsid w:val="007D2FB6"/>
    <w:rsid w:val="007E0DE2"/>
    <w:rsid w:val="007E3B98"/>
    <w:rsid w:val="007F31B6"/>
    <w:rsid w:val="007F4FB4"/>
    <w:rsid w:val="007F546C"/>
    <w:rsid w:val="007F625F"/>
    <w:rsid w:val="007F665E"/>
    <w:rsid w:val="00800412"/>
    <w:rsid w:val="0080587B"/>
    <w:rsid w:val="00806468"/>
    <w:rsid w:val="008155F0"/>
    <w:rsid w:val="00816304"/>
    <w:rsid w:val="00816735"/>
    <w:rsid w:val="00820141"/>
    <w:rsid w:val="00820E0C"/>
    <w:rsid w:val="00823791"/>
    <w:rsid w:val="008338A2"/>
    <w:rsid w:val="00841AA9"/>
    <w:rsid w:val="00853EE4"/>
    <w:rsid w:val="00855535"/>
    <w:rsid w:val="0086255E"/>
    <w:rsid w:val="008633F0"/>
    <w:rsid w:val="00867D9D"/>
    <w:rsid w:val="00872E0A"/>
    <w:rsid w:val="00875285"/>
    <w:rsid w:val="00884B62"/>
    <w:rsid w:val="0088529C"/>
    <w:rsid w:val="00885E27"/>
    <w:rsid w:val="00887903"/>
    <w:rsid w:val="0089270A"/>
    <w:rsid w:val="00893AF6"/>
    <w:rsid w:val="00894BC4"/>
    <w:rsid w:val="0089747E"/>
    <w:rsid w:val="008A5B32"/>
    <w:rsid w:val="008B2EE4"/>
    <w:rsid w:val="008B4D3D"/>
    <w:rsid w:val="008B57C7"/>
    <w:rsid w:val="008B7296"/>
    <w:rsid w:val="008C2F92"/>
    <w:rsid w:val="008D2846"/>
    <w:rsid w:val="008D4236"/>
    <w:rsid w:val="008D462F"/>
    <w:rsid w:val="008D6DCF"/>
    <w:rsid w:val="008E4376"/>
    <w:rsid w:val="008E7A0A"/>
    <w:rsid w:val="008F0CF8"/>
    <w:rsid w:val="00900719"/>
    <w:rsid w:val="009017AC"/>
    <w:rsid w:val="00904A1C"/>
    <w:rsid w:val="00905030"/>
    <w:rsid w:val="00906490"/>
    <w:rsid w:val="009111B2"/>
    <w:rsid w:val="009112E6"/>
    <w:rsid w:val="00924AE1"/>
    <w:rsid w:val="009269B1"/>
    <w:rsid w:val="0092724D"/>
    <w:rsid w:val="009358AE"/>
    <w:rsid w:val="00937BD9"/>
    <w:rsid w:val="009435AD"/>
    <w:rsid w:val="00950E2C"/>
    <w:rsid w:val="00951D50"/>
    <w:rsid w:val="009525EB"/>
    <w:rsid w:val="00954874"/>
    <w:rsid w:val="00961400"/>
    <w:rsid w:val="00962E25"/>
    <w:rsid w:val="00963646"/>
    <w:rsid w:val="009853E1"/>
    <w:rsid w:val="00986E6B"/>
    <w:rsid w:val="00991769"/>
    <w:rsid w:val="00994386"/>
    <w:rsid w:val="009A13D8"/>
    <w:rsid w:val="009A279E"/>
    <w:rsid w:val="009B0A6F"/>
    <w:rsid w:val="009B0A94"/>
    <w:rsid w:val="009B12FF"/>
    <w:rsid w:val="009B59E9"/>
    <w:rsid w:val="009B70AA"/>
    <w:rsid w:val="009C7A7E"/>
    <w:rsid w:val="009D02E8"/>
    <w:rsid w:val="009D4D0A"/>
    <w:rsid w:val="009D51D0"/>
    <w:rsid w:val="009D70A4"/>
    <w:rsid w:val="009E08D1"/>
    <w:rsid w:val="009E1B95"/>
    <w:rsid w:val="009E1E84"/>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13"/>
    <w:rsid w:val="00A67263"/>
    <w:rsid w:val="00A7161C"/>
    <w:rsid w:val="00A77AA3"/>
    <w:rsid w:val="00A82464"/>
    <w:rsid w:val="00A83C2A"/>
    <w:rsid w:val="00A854EB"/>
    <w:rsid w:val="00A872E5"/>
    <w:rsid w:val="00A91406"/>
    <w:rsid w:val="00A954D0"/>
    <w:rsid w:val="00A96E65"/>
    <w:rsid w:val="00A97C72"/>
    <w:rsid w:val="00AA63D4"/>
    <w:rsid w:val="00AB06E8"/>
    <w:rsid w:val="00AB1CD3"/>
    <w:rsid w:val="00AB31B9"/>
    <w:rsid w:val="00AB352F"/>
    <w:rsid w:val="00AC274B"/>
    <w:rsid w:val="00AC4764"/>
    <w:rsid w:val="00AC6D36"/>
    <w:rsid w:val="00AD0CBA"/>
    <w:rsid w:val="00AD2420"/>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1AEF"/>
    <w:rsid w:val="00B31E06"/>
    <w:rsid w:val="00B326B7"/>
    <w:rsid w:val="00B431E8"/>
    <w:rsid w:val="00B45141"/>
    <w:rsid w:val="00B5273A"/>
    <w:rsid w:val="00B562A4"/>
    <w:rsid w:val="00B56D5E"/>
    <w:rsid w:val="00B62B50"/>
    <w:rsid w:val="00B635B7"/>
    <w:rsid w:val="00B63AE8"/>
    <w:rsid w:val="00B65950"/>
    <w:rsid w:val="00B66D83"/>
    <w:rsid w:val="00B672C0"/>
    <w:rsid w:val="00B736D1"/>
    <w:rsid w:val="00B75646"/>
    <w:rsid w:val="00B90729"/>
    <w:rsid w:val="00B907DA"/>
    <w:rsid w:val="00B91243"/>
    <w:rsid w:val="00B950BC"/>
    <w:rsid w:val="00B9714C"/>
    <w:rsid w:val="00BA3F8D"/>
    <w:rsid w:val="00BB7A10"/>
    <w:rsid w:val="00BC7468"/>
    <w:rsid w:val="00BC7D4F"/>
    <w:rsid w:val="00BC7ED7"/>
    <w:rsid w:val="00BD2850"/>
    <w:rsid w:val="00BE28D2"/>
    <w:rsid w:val="00BE4A64"/>
    <w:rsid w:val="00BE4D1B"/>
    <w:rsid w:val="00BF7F58"/>
    <w:rsid w:val="00C01381"/>
    <w:rsid w:val="00C079B8"/>
    <w:rsid w:val="00C123EA"/>
    <w:rsid w:val="00C12A49"/>
    <w:rsid w:val="00C133EE"/>
    <w:rsid w:val="00C23D88"/>
    <w:rsid w:val="00C27CA0"/>
    <w:rsid w:val="00C27DE9"/>
    <w:rsid w:val="00C33388"/>
    <w:rsid w:val="00C35484"/>
    <w:rsid w:val="00C4173A"/>
    <w:rsid w:val="00C54BD3"/>
    <w:rsid w:val="00C602FF"/>
    <w:rsid w:val="00C61174"/>
    <w:rsid w:val="00C6148F"/>
    <w:rsid w:val="00C62F7A"/>
    <w:rsid w:val="00C63B9C"/>
    <w:rsid w:val="00C6682F"/>
    <w:rsid w:val="00C7275E"/>
    <w:rsid w:val="00C74C5D"/>
    <w:rsid w:val="00C863C4"/>
    <w:rsid w:val="00C93C3E"/>
    <w:rsid w:val="00CA12E3"/>
    <w:rsid w:val="00CA52E0"/>
    <w:rsid w:val="00CA6611"/>
    <w:rsid w:val="00CA6AE6"/>
    <w:rsid w:val="00CA782F"/>
    <w:rsid w:val="00CC01BC"/>
    <w:rsid w:val="00CC0C72"/>
    <w:rsid w:val="00CC2BFD"/>
    <w:rsid w:val="00CC7B04"/>
    <w:rsid w:val="00CD10B8"/>
    <w:rsid w:val="00CD31C7"/>
    <w:rsid w:val="00CD3476"/>
    <w:rsid w:val="00CD64DF"/>
    <w:rsid w:val="00CE6130"/>
    <w:rsid w:val="00CF2F50"/>
    <w:rsid w:val="00D00816"/>
    <w:rsid w:val="00D02919"/>
    <w:rsid w:val="00D04C61"/>
    <w:rsid w:val="00D05B8D"/>
    <w:rsid w:val="00D065A2"/>
    <w:rsid w:val="00D07F00"/>
    <w:rsid w:val="00D15532"/>
    <w:rsid w:val="00D17B72"/>
    <w:rsid w:val="00D3185C"/>
    <w:rsid w:val="00D33E72"/>
    <w:rsid w:val="00D34545"/>
    <w:rsid w:val="00D35BD6"/>
    <w:rsid w:val="00D361B5"/>
    <w:rsid w:val="00D411A2"/>
    <w:rsid w:val="00D4606D"/>
    <w:rsid w:val="00D50690"/>
    <w:rsid w:val="00D50B9C"/>
    <w:rsid w:val="00D52D73"/>
    <w:rsid w:val="00D52E58"/>
    <w:rsid w:val="00D60A6E"/>
    <w:rsid w:val="00D6414A"/>
    <w:rsid w:val="00D714CC"/>
    <w:rsid w:val="00D75DB9"/>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1391"/>
    <w:rsid w:val="00DE3250"/>
    <w:rsid w:val="00DE6028"/>
    <w:rsid w:val="00DE78A3"/>
    <w:rsid w:val="00DF1A71"/>
    <w:rsid w:val="00DF68C7"/>
    <w:rsid w:val="00DF731A"/>
    <w:rsid w:val="00E03519"/>
    <w:rsid w:val="00E03F5F"/>
    <w:rsid w:val="00E071A5"/>
    <w:rsid w:val="00E170DC"/>
    <w:rsid w:val="00E2514E"/>
    <w:rsid w:val="00E26818"/>
    <w:rsid w:val="00E27FFC"/>
    <w:rsid w:val="00E30B15"/>
    <w:rsid w:val="00E40181"/>
    <w:rsid w:val="00E52A74"/>
    <w:rsid w:val="00E52E21"/>
    <w:rsid w:val="00E55CF4"/>
    <w:rsid w:val="00E56A01"/>
    <w:rsid w:val="00E629A1"/>
    <w:rsid w:val="00E71295"/>
    <w:rsid w:val="00E713C7"/>
    <w:rsid w:val="00E71591"/>
    <w:rsid w:val="00E82C55"/>
    <w:rsid w:val="00E851D9"/>
    <w:rsid w:val="00E92AC3"/>
    <w:rsid w:val="00E95903"/>
    <w:rsid w:val="00EA724A"/>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2586E"/>
    <w:rsid w:val="00F30FF4"/>
    <w:rsid w:val="00F3122E"/>
    <w:rsid w:val="00F3140C"/>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189"/>
    <w:rsid w:val="00F72C2C"/>
    <w:rsid w:val="00F76CAB"/>
    <w:rsid w:val="00F772C6"/>
    <w:rsid w:val="00F815B5"/>
    <w:rsid w:val="00F827E5"/>
    <w:rsid w:val="00F8418E"/>
    <w:rsid w:val="00F85195"/>
    <w:rsid w:val="00F9354D"/>
    <w:rsid w:val="00F937FF"/>
    <w:rsid w:val="00F938BA"/>
    <w:rsid w:val="00FA2C46"/>
    <w:rsid w:val="00FA3525"/>
    <w:rsid w:val="00FB4CDA"/>
    <w:rsid w:val="00FC0F81"/>
    <w:rsid w:val="00FC395C"/>
    <w:rsid w:val="00FD1836"/>
    <w:rsid w:val="00FD3766"/>
    <w:rsid w:val="00FD47C4"/>
    <w:rsid w:val="00FE0E52"/>
    <w:rsid w:val="00FE2DCF"/>
    <w:rsid w:val="00FF2FCE"/>
    <w:rsid w:val="00FF4883"/>
    <w:rsid w:val="00FF4F7D"/>
    <w:rsid w:val="00FF6D9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42C5A"/>
    <w:pPr>
      <w:suppressLineNumbers/>
      <w:overflowPunct w:val="0"/>
      <w:autoSpaceDE w:val="0"/>
      <w:autoSpaceDN w:val="0"/>
      <w:adjustRightInd w:val="0"/>
      <w:spacing w:before="120"/>
      <w:textAlignment w:val="baseline"/>
    </w:pPr>
    <w:rPr>
      <w:sz w:val="24"/>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CD1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0B8"/>
    <w:rPr>
      <w:rFonts w:ascii="Segoe UI" w:hAnsi="Segoe UI" w:cs="Segoe UI"/>
      <w:sz w:val="18"/>
      <w:szCs w:val="18"/>
      <w:lang w:eastAsia="en-US"/>
    </w:rPr>
  </w:style>
  <w:style w:type="character" w:customStyle="1" w:styleId="DHHSbodyChar">
    <w:name w:val="DHHS body Char"/>
    <w:link w:val="DHHSbody"/>
    <w:rsid w:val="003B2416"/>
    <w:rPr>
      <w:rFonts w:ascii="Arial" w:eastAsia="Times" w:hAnsi="Arial"/>
      <w:lang w:eastAsia="en-US"/>
    </w:rPr>
  </w:style>
  <w:style w:type="character" w:styleId="CommentReference">
    <w:name w:val="annotation reference"/>
    <w:basedOn w:val="DefaultParagraphFont"/>
    <w:uiPriority w:val="99"/>
    <w:semiHidden/>
    <w:unhideWhenUsed/>
    <w:rsid w:val="00F937FF"/>
    <w:rPr>
      <w:sz w:val="16"/>
      <w:szCs w:val="16"/>
    </w:rPr>
  </w:style>
  <w:style w:type="paragraph" w:styleId="CommentText">
    <w:name w:val="annotation text"/>
    <w:basedOn w:val="Normal"/>
    <w:link w:val="CommentTextChar"/>
    <w:uiPriority w:val="99"/>
    <w:semiHidden/>
    <w:unhideWhenUsed/>
    <w:rsid w:val="00F937FF"/>
  </w:style>
  <w:style w:type="character" w:customStyle="1" w:styleId="CommentTextChar">
    <w:name w:val="Comment Text Char"/>
    <w:basedOn w:val="DefaultParagraphFont"/>
    <w:link w:val="CommentText"/>
    <w:uiPriority w:val="99"/>
    <w:semiHidden/>
    <w:rsid w:val="00F937FF"/>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937FF"/>
    <w:rPr>
      <w:b/>
      <w:bCs/>
    </w:rPr>
  </w:style>
  <w:style w:type="character" w:customStyle="1" w:styleId="CommentSubjectChar">
    <w:name w:val="Comment Subject Char"/>
    <w:basedOn w:val="CommentTextChar"/>
    <w:link w:val="CommentSubject"/>
    <w:uiPriority w:val="99"/>
    <w:semiHidden/>
    <w:rsid w:val="00F937FF"/>
    <w:rPr>
      <w:rFonts w:ascii="Cambria" w:hAnsi="Cambria"/>
      <w:b/>
      <w:bCs/>
      <w:lang w:eastAsia="en-US"/>
    </w:rPr>
  </w:style>
  <w:style w:type="paragraph" w:customStyle="1" w:styleId="Normal-Schedule">
    <w:name w:val="Normal - Schedule"/>
    <w:rsid w:val="00242C5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styleId="Revision">
    <w:name w:val="Revision"/>
    <w:hidden/>
    <w:uiPriority w:val="71"/>
    <w:rsid w:val="00823791"/>
    <w:rPr>
      <w:sz w:val="24"/>
      <w:lang w:eastAsia="en-US"/>
    </w:rPr>
  </w:style>
  <w:style w:type="character" w:customStyle="1" w:styleId="UnresolvedMention">
    <w:name w:val="Unresolved Mention"/>
    <w:basedOn w:val="DefaultParagraphFont"/>
    <w:uiPriority w:val="99"/>
    <w:semiHidden/>
    <w:unhideWhenUsed/>
    <w:rsid w:val="005D31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66875882">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nfectious.diseases@dhhs.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legislation.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2.health.vic.gov.au/public-health/infectious-diseases/school-exclus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health.vic.gov.au/about/legislation/public-health-and-wellbeing-act/regulation-review"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AE679-A34E-41C1-B24F-A1883683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1903</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13093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Dunstan (DHHS)</dc:creator>
  <cp:lastModifiedBy>robyn.parnell</cp:lastModifiedBy>
  <cp:revision>2</cp:revision>
  <cp:lastPrinted>2019-12-05T01:20:00Z</cp:lastPrinted>
  <dcterms:created xsi:type="dcterms:W3CDTF">2020-02-21T05:27:00Z</dcterms:created>
  <dcterms:modified xsi:type="dcterms:W3CDTF">2020-02-21T05:27:00Z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