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528C01D2"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1A346C">
        <w:rPr>
          <w:rFonts w:ascii="HelveticaNeue-Thin" w:hAnsi="HelveticaNeue-Thin" w:cs="HelveticaNeue-Thin"/>
          <w:color w:val="010202"/>
          <w:sz w:val="28"/>
          <w:szCs w:val="28"/>
        </w:rPr>
        <w:t>1</w:t>
      </w:r>
      <w:r w:rsidR="004268F1">
        <w:rPr>
          <w:rFonts w:ascii="HelveticaNeue-Thin" w:hAnsi="HelveticaNeue-Thin" w:cs="HelveticaNeue-Thin"/>
          <w:color w:val="010202"/>
          <w:sz w:val="28"/>
          <w:szCs w:val="28"/>
        </w:rPr>
        <w:t xml:space="preserve"> </w:t>
      </w:r>
      <w:r w:rsidR="003C1F46">
        <w:rPr>
          <w:rFonts w:ascii="HelveticaNeue-Thin" w:hAnsi="HelveticaNeue-Thin" w:cs="HelveticaNeue-Thin"/>
          <w:color w:val="010202"/>
          <w:sz w:val="28"/>
          <w:szCs w:val="28"/>
        </w:rPr>
        <w:t xml:space="preserve">9 to 13 </w:t>
      </w:r>
      <w:r w:rsidR="000619DE">
        <w:rPr>
          <w:rFonts w:ascii="HelveticaNeue-Thin" w:hAnsi="HelveticaNeue-Thin" w:cs="HelveticaNeue-Thin"/>
          <w:color w:val="010202"/>
          <w:sz w:val="28"/>
          <w:szCs w:val="28"/>
        </w:rPr>
        <w:t>October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70D5E5C"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A346C">
              <w:rPr>
                <w:b/>
              </w:rPr>
              <w:t>6.2.1</w:t>
            </w:r>
          </w:p>
        </w:tc>
        <w:tc>
          <w:tcPr>
            <w:tcW w:w="13467" w:type="dxa"/>
          </w:tcPr>
          <w:p w14:paraId="0A55E0BC" w14:textId="60A99757" w:rsidR="00075FF4" w:rsidRPr="00A74930" w:rsidRDefault="009260E3" w:rsidP="001A346C">
            <w:pPr>
              <w:spacing w:after="0"/>
            </w:pPr>
            <w:r w:rsidRPr="009260E3">
              <w:rPr>
                <w:rFonts w:cs="Calibri"/>
                <w:b/>
                <w:bCs/>
                <w:color w:val="221E1F"/>
              </w:rPr>
              <w:t>Transitions</w:t>
            </w:r>
            <w:r w:rsidR="006071EE" w:rsidRPr="006071EE">
              <w:rPr>
                <w:rFonts w:cs="Calibri"/>
                <w:b/>
                <w:bCs/>
                <w:color w:val="221E1F"/>
              </w:rPr>
              <w:br/>
            </w:r>
            <w:r w:rsidR="001A346C" w:rsidRPr="004B2189">
              <w:t>Continuity of learning and transitions for each child are supported by sharing information and clarifying responsibilities.</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3E762EFA" w14:textId="6A6262E0" w:rsidR="00661670" w:rsidRPr="003A3F7B" w:rsidRDefault="00AB2C41" w:rsidP="00C70935">
            <w:pPr>
              <w:spacing w:after="0"/>
              <w:rPr>
                <w:b/>
                <w:bCs/>
              </w:rPr>
            </w:pPr>
            <w:r w:rsidRPr="00D606FF">
              <w:rPr>
                <w:b/>
                <w:bCs/>
                <w:lang w:val="en-US"/>
              </w:rPr>
              <w:t>MEETING</w:t>
            </w:r>
            <w:r w:rsidR="000C1591">
              <w:rPr>
                <w:b/>
                <w:bCs/>
                <w:lang w:val="en-US"/>
              </w:rPr>
              <w:t xml:space="preserve"> - </w:t>
            </w:r>
            <w:r w:rsidR="00661670" w:rsidRPr="009D515B">
              <w:t>At our service, we've streamlined communication to keep educators informed about child absences. Parents use calls, emails, and a digital attendance system to notify us. During our daily briefing, we review attendance and discuss absences. We maintain a communication log for parental messages. We promote open communication with parents.</w:t>
            </w:r>
            <w:r w:rsidR="00661670">
              <w:br/>
            </w:r>
          </w:p>
          <w:p w14:paraId="3FF1DD61" w14:textId="5986119F" w:rsidR="00661670" w:rsidRPr="00661670" w:rsidRDefault="00661670" w:rsidP="00C70935">
            <w:pPr>
              <w:spacing w:after="0"/>
              <w:rPr>
                <w:b/>
                <w:bCs/>
              </w:rPr>
            </w:pPr>
            <w:r w:rsidRPr="00312B7C">
              <w:t>For road safety, we prioritize educating children through the "Traffic Light Game." In our outdoor area, we use a mini-traffic light. Red means stop, green for safe crossing, and yellow for caution. It's an engaging way to blend learning with fun.</w:t>
            </w:r>
            <w:r>
              <w:br/>
            </w:r>
            <w:r>
              <w:rPr>
                <w:b/>
                <w:bCs/>
              </w:rPr>
              <w:br/>
            </w:r>
            <w:r w:rsidRPr="00312B7C">
              <w:t>To ensure cross-shift communication, we maintain a shared journal for vital child and family info. Shift handovers involve in-depth discussions, and regular meetings enable information sharing. Digital tools aid efficient updates, and we encourage family communication with any on-duty educator.</w:t>
            </w:r>
          </w:p>
          <w:p w14:paraId="0C683363" w14:textId="3CC6A82E" w:rsidR="00375163" w:rsidRDefault="00375163" w:rsidP="00C70935">
            <w:pPr>
              <w:spacing w:after="0"/>
            </w:pPr>
          </w:p>
          <w:p w14:paraId="1C1B04EE" w14:textId="54FB7C1A" w:rsidR="00AB2C41" w:rsidRPr="00AB2C41" w:rsidRDefault="00AB2C41" w:rsidP="00C70935">
            <w:pPr>
              <w:spacing w:after="0" w:line="240" w:lineRule="auto"/>
              <w:rPr>
                <w:b/>
                <w:bCs/>
              </w:rPr>
            </w:pPr>
            <w:r w:rsidRPr="00AB2C41">
              <w:rPr>
                <w:b/>
                <w:bCs/>
              </w:rPr>
              <w:t>EXCEEDING</w:t>
            </w:r>
          </w:p>
          <w:p w14:paraId="085AD053" w14:textId="77777777" w:rsidR="00EF2848" w:rsidRPr="00EE6E5A" w:rsidRDefault="00AB2C41" w:rsidP="00C70935">
            <w:pPr>
              <w:spacing w:after="0"/>
            </w:pPr>
            <w:r w:rsidRPr="00AB2C41">
              <w:rPr>
                <w:b/>
                <w:bCs/>
              </w:rPr>
              <w:t>Embedded practice -</w:t>
            </w:r>
            <w:r>
              <w:t xml:space="preserve"> </w:t>
            </w:r>
            <w:r w:rsidR="00EF2848" w:rsidRPr="00EE6E5A">
              <w:t>Educators systematically promote continuity of learning and effective transitions for each child. Our transition to a new room procedure, for example</w:t>
            </w:r>
            <w:r w:rsidR="00EF2848">
              <w:t xml:space="preserve">; </w:t>
            </w:r>
            <w:r w:rsidR="00EF2848" w:rsidRPr="00EE6E5A">
              <w:t>shares child information with new educators</w:t>
            </w:r>
            <w:r w:rsidR="00EF2848">
              <w:t xml:space="preserve">; </w:t>
            </w:r>
            <w:r w:rsidR="00EF2848" w:rsidRPr="00EE6E5A">
              <w:t>talks positively to children at least two weeks beforehand about the move</w:t>
            </w:r>
            <w:r w:rsidR="00EF2848">
              <w:t xml:space="preserve">; </w:t>
            </w:r>
            <w:r w:rsidR="00EF2848" w:rsidRPr="00EE6E5A">
              <w:t>invites new educators to visit children in their current room</w:t>
            </w:r>
            <w:r w:rsidR="00EF2848">
              <w:t xml:space="preserve">; </w:t>
            </w:r>
            <w:r w:rsidR="00EF2848" w:rsidRPr="00EE6E5A">
              <w:t>introduces them to the children and encourages the children to play with them</w:t>
            </w:r>
            <w:r w:rsidR="00EF2848">
              <w:t xml:space="preserve">; </w:t>
            </w:r>
            <w:r w:rsidR="00EF2848" w:rsidRPr="00EE6E5A">
              <w:t>takes children and parents/guardians on several visits to the new room before the move happens.</w:t>
            </w:r>
          </w:p>
          <w:p w14:paraId="3686408F" w14:textId="36A49D15" w:rsidR="00344F31" w:rsidRPr="00731EBA" w:rsidRDefault="00AB2C41">
            <w:pPr>
              <w:shd w:val="clear" w:color="auto" w:fill="FFFFFF"/>
              <w:spacing w:after="0"/>
            </w:pPr>
            <w:r w:rsidRPr="00D606FF">
              <w:rPr>
                <w:b/>
                <w:bCs/>
                <w:iCs/>
              </w:rPr>
              <w:t>Critical Reflection -</w:t>
            </w:r>
            <w:r>
              <w:rPr>
                <w:i/>
              </w:rPr>
              <w:t xml:space="preserve"> </w:t>
            </w:r>
            <w:r w:rsidR="00DE4CD4" w:rsidRPr="00EE6E5A">
              <w:t>Our transition practices are consistent with current theory, the EYLF</w:t>
            </w:r>
            <w:r w:rsidR="00DE4CD4">
              <w:t>/MTOP</w:t>
            </w:r>
            <w:r w:rsidR="00DE4CD4" w:rsidRPr="00EE6E5A">
              <w:t>, and the service’s policies and procedures. This includes Orientation for Children policy, and procedures such as “transition to a new room”, “transition to school”, and “transition between settings”. We follow EYLF Practice – Continuity of Learning and Transitions – “Building on children’s prior and current experiences helps them to feel secure, confident and connected to familiar people, places, events and understandings.”</w:t>
            </w:r>
          </w:p>
          <w:p w14:paraId="6157ECBA" w14:textId="25F8AECF" w:rsidR="006C6894" w:rsidRDefault="00AB2C41" w:rsidP="006C6894">
            <w:pPr>
              <w:shd w:val="clear" w:color="auto" w:fill="FFFFFF"/>
              <w:rPr>
                <w:b/>
                <w:bCs/>
                <w:iCs/>
              </w:rPr>
            </w:pPr>
            <w:r w:rsidRPr="00D606FF">
              <w:rPr>
                <w:b/>
                <w:bCs/>
                <w:iCs/>
              </w:rPr>
              <w:t xml:space="preserve">Families and community </w:t>
            </w:r>
            <w:r w:rsidR="00707D4C">
              <w:rPr>
                <w:b/>
                <w:bCs/>
                <w:iCs/>
              </w:rPr>
              <w:t>–</w:t>
            </w:r>
            <w:r w:rsidR="006949BC">
              <w:rPr>
                <w:b/>
                <w:bCs/>
                <w:iCs/>
              </w:rPr>
              <w:t xml:space="preserve"> </w:t>
            </w:r>
            <w:r w:rsidR="00C70935" w:rsidRPr="00EE6E5A">
              <w:t>Educators’ collaborative partnerships with families or the community supports children’s resilience and wellbeing during transitions. Our Transition to School procedure allows educators to tell parents how they can prepare their child for school. Educators give parents a school readiness report in October. We take children on excursions to local schools at the end of the year, encourage children to bring in a school lunch for a week in December, and practise packing school bags.</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3C1F46" w:rsidRPr="005025C5" w14:paraId="71245204" w14:textId="77777777" w:rsidTr="001C210D">
        <w:trPr>
          <w:trHeight w:val="572"/>
        </w:trPr>
        <w:tc>
          <w:tcPr>
            <w:tcW w:w="1917" w:type="dxa"/>
            <w:shd w:val="clear" w:color="auto" w:fill="DAEEF3"/>
          </w:tcPr>
          <w:p w14:paraId="2AB39F68" w14:textId="6AF63328" w:rsidR="003C1F46" w:rsidRPr="000160DF" w:rsidRDefault="003C1F46" w:rsidP="003C1F46">
            <w:pPr>
              <w:pStyle w:val="NoSpacing"/>
              <w:rPr>
                <w:b/>
              </w:rPr>
            </w:pPr>
            <w:r>
              <w:rPr>
                <w:b/>
              </w:rPr>
              <w:t>Element 6.2.1</w:t>
            </w:r>
          </w:p>
        </w:tc>
        <w:tc>
          <w:tcPr>
            <w:tcW w:w="13393" w:type="dxa"/>
            <w:shd w:val="clear" w:color="auto" w:fill="FFFFFF"/>
          </w:tcPr>
          <w:p w14:paraId="47F7311F" w14:textId="0D623E5D" w:rsidR="003C1F46" w:rsidRPr="00D67E81" w:rsidRDefault="003C1F46" w:rsidP="003C1F46">
            <w:pPr>
              <w:spacing w:after="0" w:line="240" w:lineRule="auto"/>
            </w:pPr>
            <w:r w:rsidRPr="009260E3">
              <w:rPr>
                <w:rFonts w:cs="Calibri"/>
                <w:b/>
                <w:bCs/>
                <w:color w:val="221E1F"/>
              </w:rPr>
              <w:t>Transitions</w:t>
            </w:r>
            <w:r w:rsidRPr="006071EE">
              <w:rPr>
                <w:rFonts w:cs="Calibri"/>
                <w:b/>
                <w:bCs/>
                <w:color w:val="221E1F"/>
              </w:rPr>
              <w:br/>
            </w:r>
            <w:r w:rsidRPr="004B2189">
              <w:t>Continuity of learning and transitions for each child are supported by sharing information and clarifying responsibilities.</w:t>
            </w:r>
          </w:p>
        </w:tc>
      </w:tr>
    </w:tbl>
    <w:p w14:paraId="196B68E7" w14:textId="77777777" w:rsidR="00124E4E" w:rsidRPr="005025C5" w:rsidRDefault="00124E4E" w:rsidP="00124E4E">
      <w:pPr>
        <w:spacing w:after="0"/>
      </w:pPr>
      <w:r w:rsidRPr="005025C5">
        <w:lastRenderedPageBreak/>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51BDE5E0" w:rsidR="00075FF4" w:rsidRDefault="003C1F46" w:rsidP="00075FF4">
            <w:pPr>
              <w:pStyle w:val="NormalWeb"/>
              <w:spacing w:before="0" w:beforeAutospacing="0" w:after="0" w:afterAutospacing="0"/>
              <w:rPr>
                <w:lang w:eastAsia="en-AU"/>
              </w:rPr>
            </w:pPr>
            <w:r>
              <w:rPr>
                <w:rFonts w:ascii="Calibri" w:hAnsi="Calibri" w:cs="Calibri"/>
                <w:color w:val="000000"/>
                <w:sz w:val="20"/>
                <w:szCs w:val="20"/>
              </w:rPr>
              <w:t>6.2.1</w:t>
            </w:r>
          </w:p>
          <w:p w14:paraId="0717B254" w14:textId="18F267AF"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6C6894">
              <w:rPr>
                <w:rFonts w:ascii="Calibri" w:hAnsi="Calibri" w:cs="Calibri"/>
                <w:color w:val="000000"/>
                <w:sz w:val="20"/>
                <w:szCs w:val="20"/>
              </w:rPr>
              <w:t>3</w:t>
            </w:r>
            <w:r w:rsidR="003C1F46">
              <w:rPr>
                <w:rFonts w:ascii="Calibri" w:hAnsi="Calibri" w:cs="Calibri"/>
                <w:color w:val="000000"/>
                <w:sz w:val="20"/>
                <w:szCs w:val="20"/>
              </w:rPr>
              <w:t>1</w:t>
            </w:r>
          </w:p>
          <w:p w14:paraId="3320FC3C" w14:textId="306102C6" w:rsidR="00075FF4" w:rsidRPr="00740FED" w:rsidRDefault="00075FF4" w:rsidP="00075FF4">
            <w:pPr>
              <w:pStyle w:val="NoSpacing"/>
              <w:rPr>
                <w:sz w:val="18"/>
                <w:szCs w:val="18"/>
              </w:rPr>
            </w:pPr>
            <w:r>
              <w:rPr>
                <w:rFonts w:cs="Calibri"/>
                <w:color w:val="000000"/>
                <w:sz w:val="20"/>
                <w:szCs w:val="20"/>
              </w:rPr>
              <w:t xml:space="preserve">Date: </w:t>
            </w:r>
            <w:r w:rsidR="003C1F46">
              <w:rPr>
                <w:rFonts w:cs="Calibri"/>
                <w:color w:val="000000"/>
                <w:sz w:val="20"/>
                <w:szCs w:val="20"/>
              </w:rPr>
              <w:t>9/10</w:t>
            </w:r>
            <w:r>
              <w:rPr>
                <w:rFonts w:cs="Calibri"/>
                <w:color w:val="000000"/>
                <w:sz w:val="20"/>
                <w:szCs w:val="20"/>
              </w:rPr>
              <w:t>/23</w:t>
            </w:r>
          </w:p>
        </w:tc>
        <w:tc>
          <w:tcPr>
            <w:tcW w:w="1403" w:type="dxa"/>
          </w:tcPr>
          <w:p w14:paraId="13795AB9" w14:textId="186E9CB5" w:rsidR="00075FF4" w:rsidRPr="0057302A" w:rsidRDefault="00FA5306" w:rsidP="00466395">
            <w:pPr>
              <w:spacing w:after="0" w:line="240" w:lineRule="auto"/>
              <w:rPr>
                <w:rStyle w:val="textexposedshow"/>
                <w:rFonts w:cs="Calibri"/>
                <w:color w:val="1D2129"/>
                <w:sz w:val="20"/>
                <w:szCs w:val="20"/>
              </w:rPr>
            </w:pPr>
            <w:r w:rsidRPr="00FA5306">
              <w:rPr>
                <w:rStyle w:val="textexposedshow"/>
                <w:rFonts w:cs="Calibri"/>
                <w:color w:val="1D2129"/>
                <w:sz w:val="20"/>
                <w:szCs w:val="20"/>
              </w:rPr>
              <w:t>Lack of clear communication during child transitions.</w:t>
            </w:r>
          </w:p>
        </w:tc>
        <w:tc>
          <w:tcPr>
            <w:tcW w:w="2268" w:type="dxa"/>
          </w:tcPr>
          <w:p w14:paraId="319A2547" w14:textId="6ADB4E5A" w:rsidR="00A93BCD" w:rsidRPr="00A93BCD" w:rsidRDefault="009D6C80" w:rsidP="00154B17">
            <w:pPr>
              <w:rPr>
                <w:rFonts w:cs="Calibri"/>
                <w:sz w:val="20"/>
                <w:szCs w:val="20"/>
              </w:rPr>
            </w:pPr>
            <w:r w:rsidRPr="009D6C80">
              <w:rPr>
                <w:rFonts w:cs="Calibri"/>
                <w:sz w:val="20"/>
                <w:szCs w:val="20"/>
              </w:rPr>
              <w:t>Ensure smooth transitions for children.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E57E9F" w14:textId="77777777" w:rsidR="009D6C80" w:rsidRPr="009D6C80" w:rsidRDefault="009D6C80" w:rsidP="00526C15">
            <w:pPr>
              <w:spacing w:after="0"/>
              <w:ind w:left="27"/>
            </w:pPr>
            <w:r w:rsidRPr="009D6C80">
              <w:t>Establish a communication system for educators.</w:t>
            </w:r>
          </w:p>
          <w:p w14:paraId="05376990" w14:textId="77777777" w:rsidR="009D6C80" w:rsidRPr="009D6C80" w:rsidRDefault="009D6C80" w:rsidP="00526C15">
            <w:pPr>
              <w:spacing w:after="0"/>
              <w:ind w:left="27"/>
            </w:pPr>
            <w:r w:rsidRPr="009D6C80">
              <w:t>Create transition plans for each child.</w:t>
            </w:r>
          </w:p>
          <w:p w14:paraId="39D97DF3" w14:textId="77777777" w:rsidR="009D6C80" w:rsidRPr="009D6C80" w:rsidRDefault="009D6C80" w:rsidP="00526C15">
            <w:pPr>
              <w:spacing w:after="0"/>
              <w:ind w:left="27"/>
            </w:pPr>
            <w:r w:rsidRPr="009D6C80">
              <w:t>Train educators to provide emotional support.</w:t>
            </w:r>
          </w:p>
          <w:p w14:paraId="67C19570" w14:textId="77777777" w:rsidR="009D6C80" w:rsidRPr="009D6C80" w:rsidRDefault="009D6C80" w:rsidP="00526C15">
            <w:pPr>
              <w:spacing w:after="0"/>
              <w:ind w:left="27"/>
            </w:pPr>
            <w:r w:rsidRPr="009D6C80">
              <w:t>Maintain consistent routines.</w:t>
            </w:r>
          </w:p>
          <w:p w14:paraId="088ED271" w14:textId="77777777" w:rsidR="009D6C80" w:rsidRPr="009D6C80" w:rsidRDefault="009D6C80" w:rsidP="00526C15">
            <w:pPr>
              <w:spacing w:after="0"/>
              <w:ind w:left="27"/>
            </w:pPr>
            <w:r w:rsidRPr="009D6C80">
              <w:t>Implement safety protocols.</w:t>
            </w:r>
          </w:p>
          <w:p w14:paraId="6A2BE9FA" w14:textId="77777777" w:rsidR="009D6C80" w:rsidRPr="009D6C80" w:rsidRDefault="009D6C80" w:rsidP="00526C15">
            <w:pPr>
              <w:spacing w:after="0"/>
              <w:ind w:left="27"/>
            </w:pPr>
            <w:r w:rsidRPr="009D6C80">
              <w:t>Engage families in the transition process.</w:t>
            </w:r>
          </w:p>
          <w:p w14:paraId="31BC0D1D" w14:textId="77777777" w:rsidR="009D6C80" w:rsidRPr="009D6C80" w:rsidRDefault="009D6C80" w:rsidP="00526C15">
            <w:pPr>
              <w:spacing w:after="0"/>
              <w:ind w:left="27"/>
            </w:pPr>
            <w:r w:rsidRPr="009D6C80">
              <w:t>Make informed decisions based on comprehensive info.</w:t>
            </w:r>
          </w:p>
          <w:p w14:paraId="164FDD97" w14:textId="77777777" w:rsidR="009D6C80" w:rsidRPr="009D6C80" w:rsidRDefault="009D6C80" w:rsidP="00526C15">
            <w:pPr>
              <w:spacing w:after="0"/>
              <w:ind w:left="27"/>
            </w:pPr>
            <w:r w:rsidRPr="009D6C80">
              <w:t>Collaborate with professionals when needed.</w:t>
            </w:r>
          </w:p>
          <w:p w14:paraId="56A11EDD" w14:textId="0595F8B9" w:rsidR="00075FF4" w:rsidRPr="00154B17" w:rsidRDefault="00075FF4" w:rsidP="00C16228">
            <w:pPr>
              <w:pStyle w:val="NormalWeb"/>
              <w:spacing w:before="0" w:beforeAutospacing="0" w:after="0" w:afterAutospacing="0"/>
              <w:rPr>
                <w:rStyle w:val="textexposedshow"/>
                <w:rFonts w:ascii="Calibri" w:hAnsi="Calibri" w:cs="Calibri"/>
                <w:color w:val="1D2129"/>
                <w:sz w:val="20"/>
                <w:szCs w:val="20"/>
              </w:rPr>
            </w:pPr>
          </w:p>
        </w:tc>
        <w:tc>
          <w:tcPr>
            <w:tcW w:w="3402" w:type="dxa"/>
          </w:tcPr>
          <w:p w14:paraId="297E2E9A" w14:textId="1516A667" w:rsidR="00075FF4" w:rsidRPr="00105653" w:rsidRDefault="000A7978" w:rsidP="000A7978">
            <w:pPr>
              <w:spacing w:after="0"/>
            </w:pPr>
            <w:r w:rsidRPr="000A7978">
              <w:t>Smooth and stress-free child transitions.</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0335F24B" w14:textId="77777777" w:rsidR="003C1F46" w:rsidRDefault="003C1F46" w:rsidP="003C1F46">
            <w:pPr>
              <w:pStyle w:val="NormalWeb"/>
              <w:spacing w:before="0" w:beforeAutospacing="0" w:after="0" w:afterAutospacing="0"/>
              <w:rPr>
                <w:lang w:eastAsia="en-AU"/>
              </w:rPr>
            </w:pPr>
            <w:r>
              <w:rPr>
                <w:rFonts w:ascii="Calibri" w:hAnsi="Calibri" w:cs="Calibri"/>
                <w:color w:val="000000"/>
                <w:sz w:val="20"/>
                <w:szCs w:val="20"/>
              </w:rPr>
              <w:t>6.2.1</w:t>
            </w:r>
          </w:p>
          <w:p w14:paraId="479CEB35" w14:textId="77777777" w:rsidR="003C1F46" w:rsidRDefault="003C1F46" w:rsidP="003C1F46">
            <w:pPr>
              <w:pStyle w:val="NormalWeb"/>
              <w:spacing w:before="0" w:beforeAutospacing="0" w:after="0" w:afterAutospacing="0"/>
            </w:pPr>
            <w:r>
              <w:rPr>
                <w:rFonts w:ascii="Calibri" w:hAnsi="Calibri" w:cs="Calibri"/>
                <w:color w:val="000000"/>
                <w:sz w:val="20"/>
                <w:szCs w:val="20"/>
              </w:rPr>
              <w:t>Week 31</w:t>
            </w:r>
          </w:p>
          <w:p w14:paraId="5D0BA762" w14:textId="69F8206D" w:rsidR="00075FF4" w:rsidRDefault="003C1F46" w:rsidP="003C1F46">
            <w:pPr>
              <w:pStyle w:val="NoSpacing"/>
              <w:rPr>
                <w:rFonts w:cs="Calibri"/>
                <w:b/>
                <w:bCs/>
                <w:color w:val="000000"/>
                <w:sz w:val="16"/>
                <w:szCs w:val="16"/>
              </w:rPr>
            </w:pPr>
            <w:r>
              <w:rPr>
                <w:rFonts w:cs="Calibri"/>
                <w:color w:val="000000"/>
                <w:sz w:val="20"/>
                <w:szCs w:val="20"/>
              </w:rPr>
              <w:t>Date: 9/10/23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517E6D2E" w:rsidR="00075FF4" w:rsidRPr="00213962" w:rsidRDefault="00DA5AE5" w:rsidP="00075FF4">
            <w:pPr>
              <w:spacing w:after="240"/>
              <w:rPr>
                <w:rStyle w:val="textexposedshow"/>
                <w:rFonts w:cs="Calibri"/>
                <w:color w:val="1D2129"/>
                <w:sz w:val="21"/>
                <w:szCs w:val="21"/>
              </w:rPr>
            </w:pPr>
            <w:r w:rsidRPr="00DA5AE5">
              <w:rPr>
                <w:rStyle w:val="textexposedshow"/>
                <w:rFonts w:cs="Calibri"/>
                <w:color w:val="1D2129"/>
                <w:sz w:val="21"/>
                <w:szCs w:val="21"/>
              </w:rPr>
              <w:t>Inconsistent support for child transitions.</w:t>
            </w:r>
          </w:p>
        </w:tc>
        <w:tc>
          <w:tcPr>
            <w:tcW w:w="2268" w:type="dxa"/>
          </w:tcPr>
          <w:p w14:paraId="5B8B847E" w14:textId="3236A7D5" w:rsidR="00075FF4" w:rsidRPr="00213962" w:rsidRDefault="00721984" w:rsidP="00075FF4">
            <w:pPr>
              <w:spacing w:after="240"/>
              <w:rPr>
                <w:rStyle w:val="textexposedshow"/>
                <w:rFonts w:cs="Calibri"/>
                <w:iCs/>
                <w:color w:val="1D2129"/>
                <w:sz w:val="20"/>
                <w:szCs w:val="20"/>
              </w:rPr>
            </w:pPr>
            <w:r w:rsidRPr="00721984">
              <w:rPr>
                <w:rStyle w:val="textexposedshow"/>
                <w:rFonts w:cs="Calibri"/>
                <w:iCs/>
                <w:color w:val="1D2129"/>
                <w:sz w:val="20"/>
                <w:szCs w:val="20"/>
              </w:rPr>
              <w:t>Ensure smooth and effective transitions for all children.</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0A69623"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Create a clear communication system.</w:t>
            </w:r>
          </w:p>
          <w:p w14:paraId="41DAA970"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Make personalized transition plans.</w:t>
            </w:r>
          </w:p>
          <w:p w14:paraId="7CA2F6BD"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lastRenderedPageBreak/>
              <w:t>Train for emotional support.</w:t>
            </w:r>
          </w:p>
          <w:p w14:paraId="12E0B4B0"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Keep routines consistent.</w:t>
            </w:r>
          </w:p>
          <w:p w14:paraId="51807983"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Track child development.</w:t>
            </w:r>
          </w:p>
          <w:p w14:paraId="48C26B8F"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Ensure safety.</w:t>
            </w:r>
          </w:p>
          <w:p w14:paraId="65A52609"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Engage families.</w:t>
            </w:r>
          </w:p>
          <w:p w14:paraId="0BB1265A" w14:textId="77777777" w:rsidR="00526C15" w:rsidRPr="00526C15"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Use info for decisions.</w:t>
            </w:r>
          </w:p>
          <w:p w14:paraId="4E8664EA" w14:textId="26190092" w:rsidR="009B4161" w:rsidRPr="00D04580" w:rsidRDefault="00526C15" w:rsidP="00526C15">
            <w:pPr>
              <w:spacing w:after="0"/>
              <w:rPr>
                <w:rStyle w:val="textexposedshow"/>
                <w:rFonts w:cs="Calibri"/>
                <w:color w:val="1D2129"/>
                <w:sz w:val="20"/>
                <w:szCs w:val="20"/>
              </w:rPr>
            </w:pPr>
            <w:r w:rsidRPr="00526C15">
              <w:rPr>
                <w:rStyle w:val="textexposedshow"/>
                <w:rFonts w:cs="Calibri"/>
                <w:color w:val="1D2129"/>
                <w:sz w:val="20"/>
                <w:szCs w:val="20"/>
              </w:rPr>
              <w:t>Team up with pros when necessary.</w:t>
            </w:r>
          </w:p>
        </w:tc>
        <w:tc>
          <w:tcPr>
            <w:tcW w:w="3402" w:type="dxa"/>
          </w:tcPr>
          <w:p w14:paraId="2E7CC791" w14:textId="77777777" w:rsidR="000B64F8" w:rsidRDefault="000B64F8" w:rsidP="000B64F8">
            <w:pPr>
              <w:rPr>
                <w:i/>
                <w:color w:val="FF0000"/>
              </w:rPr>
            </w:pPr>
            <w:r>
              <w:rPr>
                <w:i/>
              </w:rPr>
              <w:lastRenderedPageBreak/>
              <w:t>Educators</w:t>
            </w:r>
            <w:r>
              <w:t xml:space="preserve"> </w:t>
            </w:r>
            <w:r>
              <w:rPr>
                <w:i/>
              </w:rPr>
              <w:t>systematically promote continuity of learning and effective transitions for each child in the following ways:</w:t>
            </w:r>
          </w:p>
          <w:p w14:paraId="0C955E27" w14:textId="77777777" w:rsidR="00A00AB7" w:rsidRDefault="00A00AB7" w:rsidP="00A00AB7">
            <w:pPr>
              <w:numPr>
                <w:ilvl w:val="0"/>
                <w:numId w:val="44"/>
              </w:numPr>
              <w:pBdr>
                <w:top w:val="nil"/>
                <w:left w:val="nil"/>
                <w:bottom w:val="nil"/>
                <w:right w:val="nil"/>
                <w:between w:val="nil"/>
              </w:pBdr>
              <w:spacing w:after="0" w:line="259" w:lineRule="auto"/>
              <w:ind w:hanging="357"/>
              <w:rPr>
                <w:color w:val="FF0000"/>
              </w:rPr>
            </w:pPr>
            <w:r>
              <w:rPr>
                <w:color w:val="FF0000"/>
              </w:rPr>
              <w:lastRenderedPageBreak/>
              <w:t>We share information about children with new educators, talk to children positively about the move to a new room at least two weeks before the move. We refer to new educators in daily conversations, invite new educators to visit children in their current room several times. We introduce them to the children and encourage children to play with them. We take children and parents/guardians on several visits to the new room before the move happens.</w:t>
            </w:r>
          </w:p>
          <w:p w14:paraId="7A76C3FA" w14:textId="766E5DA6" w:rsidR="004662DA" w:rsidRPr="00A00AB7" w:rsidRDefault="00A00AB7" w:rsidP="00A00AB7">
            <w:pPr>
              <w:numPr>
                <w:ilvl w:val="0"/>
                <w:numId w:val="44"/>
              </w:numPr>
              <w:pBdr>
                <w:top w:val="nil"/>
                <w:left w:val="nil"/>
                <w:bottom w:val="nil"/>
                <w:right w:val="nil"/>
                <w:between w:val="nil"/>
              </w:pBdr>
              <w:spacing w:after="0" w:line="259" w:lineRule="auto"/>
              <w:ind w:hanging="357"/>
              <w:rPr>
                <w:color w:val="FF0000"/>
              </w:rPr>
            </w:pPr>
            <w:r w:rsidRPr="00A00AB7">
              <w:rPr>
                <w:color w:val="FF0000"/>
              </w:rPr>
              <w:t>Transition to School Procedure. Educators tell parents/guardians how they can help their child get ready for school. Educators give parents/guardians a school readiness report in October. Educators take children on excursions to local school(s) near the end of year. Educators encourage children to bring a school lunch for a week in December.</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02ADC9A8" w14:textId="77777777" w:rsidR="003C1F46" w:rsidRDefault="003C1F46" w:rsidP="003C1F46">
            <w:pPr>
              <w:pStyle w:val="NormalWeb"/>
              <w:spacing w:before="0" w:beforeAutospacing="0" w:after="0" w:afterAutospacing="0"/>
              <w:rPr>
                <w:lang w:eastAsia="en-AU"/>
              </w:rPr>
            </w:pPr>
            <w:r>
              <w:rPr>
                <w:rFonts w:ascii="Calibri" w:hAnsi="Calibri" w:cs="Calibri"/>
                <w:color w:val="000000"/>
                <w:sz w:val="20"/>
                <w:szCs w:val="20"/>
              </w:rPr>
              <w:t>6.2.1</w:t>
            </w:r>
          </w:p>
          <w:p w14:paraId="601DE9C7" w14:textId="77777777" w:rsidR="003C1F46" w:rsidRDefault="003C1F46" w:rsidP="003C1F46">
            <w:pPr>
              <w:pStyle w:val="NormalWeb"/>
              <w:spacing w:before="0" w:beforeAutospacing="0" w:after="0" w:afterAutospacing="0"/>
            </w:pPr>
            <w:r>
              <w:rPr>
                <w:rFonts w:ascii="Calibri" w:hAnsi="Calibri" w:cs="Calibri"/>
                <w:color w:val="000000"/>
                <w:sz w:val="20"/>
                <w:szCs w:val="20"/>
              </w:rPr>
              <w:t>Week 31</w:t>
            </w:r>
          </w:p>
          <w:p w14:paraId="543E98BC" w14:textId="769E5687" w:rsidR="00371FE4" w:rsidRDefault="003C1F46" w:rsidP="003C1F46">
            <w:pPr>
              <w:pStyle w:val="NoSpacing"/>
              <w:rPr>
                <w:rFonts w:cs="Calibri"/>
                <w:b/>
                <w:bCs/>
                <w:color w:val="000000"/>
                <w:sz w:val="18"/>
                <w:szCs w:val="18"/>
              </w:rPr>
            </w:pPr>
            <w:r>
              <w:rPr>
                <w:rFonts w:cs="Calibri"/>
                <w:color w:val="000000"/>
                <w:sz w:val="20"/>
                <w:szCs w:val="20"/>
              </w:rPr>
              <w:t>Date: 9/10/23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D3B7586" w:rsidR="00371FE4" w:rsidRPr="0057302A" w:rsidRDefault="001D070B" w:rsidP="00371FE4">
            <w:pPr>
              <w:spacing w:after="0" w:line="240" w:lineRule="auto"/>
              <w:rPr>
                <w:rStyle w:val="textexposedshow"/>
                <w:rFonts w:cs="Calibri"/>
                <w:color w:val="1D2129"/>
                <w:sz w:val="20"/>
                <w:szCs w:val="20"/>
              </w:rPr>
            </w:pPr>
            <w:r w:rsidRPr="001D070B">
              <w:rPr>
                <w:rStyle w:val="textexposedshow"/>
                <w:rFonts w:cs="Calibri"/>
                <w:color w:val="1D2129"/>
                <w:sz w:val="20"/>
                <w:szCs w:val="20"/>
              </w:rPr>
              <w:t>Lack of alignment with practice theory, learning frameworks, and service policies.</w:t>
            </w:r>
          </w:p>
        </w:tc>
        <w:tc>
          <w:tcPr>
            <w:tcW w:w="2268" w:type="dxa"/>
          </w:tcPr>
          <w:p w14:paraId="07830F15" w14:textId="4BFB812D" w:rsidR="00371FE4" w:rsidRPr="0057302A" w:rsidRDefault="00AA453B" w:rsidP="00371FE4">
            <w:pPr>
              <w:spacing w:after="0" w:line="240" w:lineRule="auto"/>
              <w:rPr>
                <w:rStyle w:val="textexposedshow"/>
                <w:rFonts w:cs="Calibri"/>
                <w:color w:val="1D2129"/>
                <w:sz w:val="20"/>
                <w:szCs w:val="20"/>
              </w:rPr>
            </w:pPr>
            <w:r w:rsidRPr="00AA453B">
              <w:rPr>
                <w:rStyle w:val="textexposedshow"/>
                <w:rFonts w:cs="Calibri"/>
                <w:color w:val="1D2129"/>
                <w:sz w:val="20"/>
                <w:szCs w:val="20"/>
              </w:rPr>
              <w:t>Ensure transition practices are in line with theory, learning frameworks, and service policies.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44C7C51" w14:textId="77777777" w:rsidR="00AA453B" w:rsidRPr="00AA453B" w:rsidRDefault="00AA453B" w:rsidP="00AA453B">
            <w:pPr>
              <w:spacing w:after="0"/>
              <w:textAlignment w:val="baseline"/>
              <w:rPr>
                <w:rStyle w:val="textexposedshow"/>
                <w:rFonts w:cs="Calibri"/>
                <w:color w:val="1D2129"/>
                <w:sz w:val="20"/>
                <w:szCs w:val="20"/>
              </w:rPr>
            </w:pPr>
            <w:r w:rsidRPr="00AA453B">
              <w:rPr>
                <w:rStyle w:val="textexposedshow"/>
                <w:rFonts w:cs="Calibri"/>
                <w:color w:val="1D2129"/>
                <w:sz w:val="20"/>
                <w:szCs w:val="20"/>
              </w:rPr>
              <w:t>Review practice theory and guidelines.</w:t>
            </w:r>
          </w:p>
          <w:p w14:paraId="754A110E" w14:textId="77777777" w:rsidR="00AA453B" w:rsidRPr="00AA453B" w:rsidRDefault="00AA453B" w:rsidP="00AA453B">
            <w:pPr>
              <w:spacing w:after="0"/>
              <w:textAlignment w:val="baseline"/>
              <w:rPr>
                <w:rStyle w:val="textexposedshow"/>
                <w:rFonts w:cs="Calibri"/>
                <w:color w:val="1D2129"/>
                <w:sz w:val="20"/>
                <w:szCs w:val="20"/>
              </w:rPr>
            </w:pPr>
            <w:r w:rsidRPr="00AA453B">
              <w:rPr>
                <w:rStyle w:val="textexposedshow"/>
                <w:rFonts w:cs="Calibri"/>
                <w:color w:val="1D2129"/>
                <w:sz w:val="20"/>
                <w:szCs w:val="20"/>
              </w:rPr>
              <w:t>Align transition practices with approved learning frameworks.</w:t>
            </w:r>
          </w:p>
          <w:p w14:paraId="357D39ED" w14:textId="77777777" w:rsidR="00AA453B" w:rsidRPr="00AA453B" w:rsidRDefault="00AA453B" w:rsidP="00AA453B">
            <w:pPr>
              <w:spacing w:after="0"/>
              <w:textAlignment w:val="baseline"/>
              <w:rPr>
                <w:rStyle w:val="textexposedshow"/>
                <w:rFonts w:cs="Calibri"/>
                <w:color w:val="1D2129"/>
                <w:sz w:val="20"/>
                <w:szCs w:val="20"/>
              </w:rPr>
            </w:pPr>
            <w:r w:rsidRPr="00AA453B">
              <w:rPr>
                <w:rStyle w:val="textexposedshow"/>
                <w:rFonts w:cs="Calibri"/>
                <w:color w:val="1D2129"/>
                <w:sz w:val="20"/>
                <w:szCs w:val="20"/>
              </w:rPr>
              <w:t xml:space="preserve">Update service </w:t>
            </w:r>
            <w:r w:rsidRPr="00AA453B">
              <w:rPr>
                <w:rStyle w:val="textexposedshow"/>
                <w:rFonts w:cs="Calibri"/>
                <w:color w:val="1D2129"/>
                <w:sz w:val="20"/>
                <w:szCs w:val="20"/>
              </w:rPr>
              <w:lastRenderedPageBreak/>
              <w:t>policies to match best practices.</w:t>
            </w:r>
          </w:p>
          <w:p w14:paraId="3CE109E2" w14:textId="20240C0C" w:rsidR="00371FE4" w:rsidRPr="00D04580" w:rsidRDefault="00AA453B" w:rsidP="00AA453B">
            <w:pPr>
              <w:spacing w:after="0"/>
              <w:textAlignment w:val="baseline"/>
              <w:rPr>
                <w:rStyle w:val="textexposedshow"/>
                <w:rFonts w:cs="Calibri"/>
                <w:color w:val="1D2129"/>
                <w:sz w:val="20"/>
                <w:szCs w:val="20"/>
              </w:rPr>
            </w:pPr>
            <w:r w:rsidRPr="00AA453B">
              <w:rPr>
                <w:rStyle w:val="textexposedshow"/>
                <w:rFonts w:cs="Calibri"/>
                <w:color w:val="1D2129"/>
                <w:sz w:val="20"/>
                <w:szCs w:val="20"/>
              </w:rPr>
              <w:t>Train educators on the new approach.</w:t>
            </w:r>
          </w:p>
        </w:tc>
        <w:tc>
          <w:tcPr>
            <w:tcW w:w="3402" w:type="dxa"/>
          </w:tcPr>
          <w:p w14:paraId="2BDE6A8A" w14:textId="77777777" w:rsidR="0005192E" w:rsidRDefault="0005192E" w:rsidP="0005192E">
            <w:pPr>
              <w:rPr>
                <w:i/>
                <w:color w:val="FF0000"/>
              </w:rPr>
            </w:pPr>
            <w:r>
              <w:rPr>
                <w:i/>
              </w:rPr>
              <w:lastRenderedPageBreak/>
              <w:t>Educators’ transition practices are consistent with practice theory, the approved learning framework/s, and the service’s policies and procedures. For example, our:</w:t>
            </w:r>
          </w:p>
          <w:p w14:paraId="0EAA03FB" w14:textId="77777777" w:rsidR="0005192E" w:rsidRDefault="0005192E" w:rsidP="0005192E">
            <w:pPr>
              <w:numPr>
                <w:ilvl w:val="0"/>
                <w:numId w:val="43"/>
              </w:numPr>
              <w:pBdr>
                <w:top w:val="nil"/>
                <w:left w:val="nil"/>
                <w:bottom w:val="nil"/>
                <w:right w:val="nil"/>
                <w:between w:val="nil"/>
              </w:pBdr>
              <w:spacing w:after="0" w:line="259" w:lineRule="auto"/>
              <w:rPr>
                <w:color w:val="FF0000"/>
              </w:rPr>
            </w:pPr>
            <w:r>
              <w:rPr>
                <w:color w:val="FF0000"/>
              </w:rPr>
              <w:t>Orientation for Children Policy</w:t>
            </w:r>
          </w:p>
          <w:p w14:paraId="2B67717A" w14:textId="77777777" w:rsidR="0005192E" w:rsidRDefault="0005192E" w:rsidP="0005192E">
            <w:pPr>
              <w:numPr>
                <w:ilvl w:val="0"/>
                <w:numId w:val="43"/>
              </w:numPr>
              <w:pBdr>
                <w:top w:val="nil"/>
                <w:left w:val="nil"/>
                <w:bottom w:val="nil"/>
                <w:right w:val="nil"/>
                <w:between w:val="nil"/>
              </w:pBdr>
              <w:spacing w:after="0" w:line="259" w:lineRule="auto"/>
              <w:rPr>
                <w:color w:val="FF0000"/>
              </w:rPr>
            </w:pPr>
            <w:r>
              <w:rPr>
                <w:color w:val="FF0000"/>
              </w:rPr>
              <w:t xml:space="preserve">Procedures – transition to a </w:t>
            </w:r>
            <w:r>
              <w:rPr>
                <w:color w:val="FF0000"/>
              </w:rPr>
              <w:lastRenderedPageBreak/>
              <w:t>new room procedure, transition to school procedure, transition between settings procedure</w:t>
            </w:r>
          </w:p>
          <w:p w14:paraId="3A791F20" w14:textId="77777777" w:rsidR="0005192E" w:rsidRDefault="0005192E" w:rsidP="0005192E">
            <w:pPr>
              <w:numPr>
                <w:ilvl w:val="0"/>
                <w:numId w:val="43"/>
              </w:numPr>
              <w:pBdr>
                <w:top w:val="nil"/>
                <w:left w:val="nil"/>
                <w:bottom w:val="nil"/>
                <w:right w:val="nil"/>
                <w:between w:val="nil"/>
              </w:pBdr>
              <w:spacing w:after="0" w:line="259" w:lineRule="auto"/>
              <w:rPr>
                <w:color w:val="FF0000"/>
              </w:rPr>
            </w:pPr>
            <w:r>
              <w:rPr>
                <w:color w:val="FF0000"/>
              </w:rPr>
              <w:t>EYLF/MTOP Practice – Continuity of learning and transitions – “Building on children’s prior and current experiences helps them to feel secure, confident and connected to familiar people, places, events and understandings. Children, families and early childhood educators all contribute to successful transitions between settings. In partnership with families, early childhood educators ensure that children have an active role in preparing for transitions.”</w:t>
            </w:r>
          </w:p>
          <w:p w14:paraId="53ABE53E" w14:textId="77777777" w:rsidR="0005192E" w:rsidRDefault="0005192E" w:rsidP="0005192E">
            <w:pPr>
              <w:numPr>
                <w:ilvl w:val="0"/>
                <w:numId w:val="42"/>
              </w:numPr>
              <w:pBdr>
                <w:top w:val="nil"/>
                <w:left w:val="nil"/>
                <w:bottom w:val="nil"/>
                <w:right w:val="nil"/>
                <w:between w:val="nil"/>
              </w:pBdr>
              <w:spacing w:after="0" w:line="259" w:lineRule="auto"/>
              <w:rPr>
                <w:color w:val="FF0000"/>
              </w:rPr>
            </w:pPr>
            <w:r>
              <w:rPr>
                <w:color w:val="FF0000"/>
              </w:rPr>
              <w:t>Socio-cultural approach – Vygotsky, Malaguzzi, Rogoff, Fleer – Children are active participants in their learning, educators use intentional teaching, relationships and cultural participation lead to learning.</w:t>
            </w:r>
          </w:p>
          <w:p w14:paraId="4282EA4D" w14:textId="0A642EAF" w:rsidR="00A5063A" w:rsidRPr="006312D2" w:rsidRDefault="00A5063A" w:rsidP="006C6894">
            <w:pPr>
              <w:pBdr>
                <w:top w:val="nil"/>
                <w:left w:val="nil"/>
                <w:bottom w:val="nil"/>
                <w:right w:val="nil"/>
                <w:between w:val="nil"/>
              </w:pBdr>
              <w:spacing w:after="0" w:line="259" w:lineRule="auto"/>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2C903EE1" w14:textId="77777777" w:rsidR="003C1F46" w:rsidRDefault="003C1F46" w:rsidP="003C1F46">
            <w:pPr>
              <w:pStyle w:val="NormalWeb"/>
              <w:spacing w:before="0" w:beforeAutospacing="0" w:after="0" w:afterAutospacing="0"/>
              <w:rPr>
                <w:lang w:eastAsia="en-AU"/>
              </w:rPr>
            </w:pPr>
            <w:r>
              <w:rPr>
                <w:rFonts w:ascii="Calibri" w:hAnsi="Calibri" w:cs="Calibri"/>
                <w:color w:val="000000"/>
                <w:sz w:val="20"/>
                <w:szCs w:val="20"/>
              </w:rPr>
              <w:t>6.2.1</w:t>
            </w:r>
          </w:p>
          <w:p w14:paraId="34C91BA0" w14:textId="77777777" w:rsidR="003C1F46" w:rsidRDefault="003C1F46" w:rsidP="003C1F46">
            <w:pPr>
              <w:pStyle w:val="NormalWeb"/>
              <w:spacing w:before="0" w:beforeAutospacing="0" w:after="0" w:afterAutospacing="0"/>
            </w:pPr>
            <w:r>
              <w:rPr>
                <w:rFonts w:ascii="Calibri" w:hAnsi="Calibri" w:cs="Calibri"/>
                <w:color w:val="000000"/>
                <w:sz w:val="20"/>
                <w:szCs w:val="20"/>
              </w:rPr>
              <w:t>Week 31</w:t>
            </w:r>
          </w:p>
          <w:p w14:paraId="58F53C8E" w14:textId="22359375" w:rsidR="00075FF4" w:rsidRDefault="003C1F46" w:rsidP="003C1F46">
            <w:pPr>
              <w:pStyle w:val="NoSpacing"/>
              <w:rPr>
                <w:rFonts w:cs="Calibri"/>
                <w:b/>
                <w:bCs/>
                <w:color w:val="000000"/>
                <w:sz w:val="16"/>
                <w:szCs w:val="16"/>
              </w:rPr>
            </w:pPr>
            <w:r>
              <w:rPr>
                <w:rFonts w:cs="Calibri"/>
                <w:color w:val="000000"/>
                <w:sz w:val="20"/>
                <w:szCs w:val="20"/>
              </w:rPr>
              <w:t>Date: 9/10/23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5B223DF1" w:rsidR="00075FF4" w:rsidRPr="0057302A" w:rsidRDefault="00B25F3C" w:rsidP="00075FF4">
            <w:pPr>
              <w:spacing w:after="0" w:line="240" w:lineRule="auto"/>
              <w:rPr>
                <w:rStyle w:val="textexposedshow"/>
                <w:rFonts w:cs="Calibri"/>
                <w:color w:val="1D2129"/>
                <w:sz w:val="20"/>
                <w:szCs w:val="20"/>
              </w:rPr>
            </w:pPr>
            <w:r w:rsidRPr="00B25F3C">
              <w:rPr>
                <w:rStyle w:val="textexposedshow"/>
                <w:rFonts w:cs="Calibri"/>
                <w:color w:val="1D2129"/>
                <w:sz w:val="20"/>
                <w:szCs w:val="20"/>
              </w:rPr>
              <w:t>Limited collaboration with families or the community during transitions.</w:t>
            </w:r>
          </w:p>
        </w:tc>
        <w:tc>
          <w:tcPr>
            <w:tcW w:w="2268" w:type="dxa"/>
          </w:tcPr>
          <w:p w14:paraId="1B8BD92E" w14:textId="7A71034C" w:rsidR="00075FF4" w:rsidRPr="0057302A" w:rsidRDefault="00814A8C" w:rsidP="00075FF4">
            <w:pPr>
              <w:spacing w:after="0" w:line="240" w:lineRule="auto"/>
              <w:rPr>
                <w:rStyle w:val="textexposedshow"/>
                <w:rFonts w:cs="Calibri"/>
                <w:color w:val="1D2129"/>
                <w:sz w:val="20"/>
                <w:szCs w:val="20"/>
              </w:rPr>
            </w:pPr>
            <w:r w:rsidRPr="00814A8C">
              <w:rPr>
                <w:rStyle w:val="textexposedshow"/>
                <w:rFonts w:cs="Calibri"/>
                <w:color w:val="1D2129"/>
                <w:sz w:val="20"/>
                <w:szCs w:val="20"/>
              </w:rPr>
              <w:t>Support children's resilience and wellbeing through strong partnerships.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1187730" w14:textId="77777777" w:rsidR="00814A8C" w:rsidRPr="00814A8C" w:rsidRDefault="00814A8C" w:rsidP="00814A8C">
            <w:pPr>
              <w:spacing w:after="0"/>
              <w:rPr>
                <w:rStyle w:val="textexposedshow"/>
                <w:rFonts w:cs="Calibri"/>
                <w:color w:val="1D2129"/>
                <w:sz w:val="20"/>
                <w:szCs w:val="20"/>
              </w:rPr>
            </w:pPr>
            <w:r w:rsidRPr="00814A8C">
              <w:rPr>
                <w:rStyle w:val="textexposedshow"/>
                <w:rFonts w:cs="Calibri"/>
                <w:color w:val="1D2129"/>
                <w:sz w:val="20"/>
                <w:szCs w:val="20"/>
              </w:rPr>
              <w:t>Strengthen communication with families.</w:t>
            </w:r>
          </w:p>
          <w:p w14:paraId="72A1187E" w14:textId="77777777" w:rsidR="00814A8C" w:rsidRPr="00814A8C" w:rsidRDefault="00814A8C" w:rsidP="00814A8C">
            <w:pPr>
              <w:spacing w:after="0"/>
              <w:rPr>
                <w:rStyle w:val="textexposedshow"/>
                <w:rFonts w:cs="Calibri"/>
                <w:color w:val="1D2129"/>
                <w:sz w:val="20"/>
                <w:szCs w:val="20"/>
              </w:rPr>
            </w:pPr>
            <w:r w:rsidRPr="00814A8C">
              <w:rPr>
                <w:rStyle w:val="textexposedshow"/>
                <w:rFonts w:cs="Calibri"/>
                <w:color w:val="1D2129"/>
                <w:sz w:val="20"/>
                <w:szCs w:val="20"/>
              </w:rPr>
              <w:t>Engage families in transition planning.</w:t>
            </w:r>
          </w:p>
          <w:p w14:paraId="2935927C" w14:textId="77777777" w:rsidR="00814A8C" w:rsidRPr="00814A8C" w:rsidRDefault="00814A8C" w:rsidP="00814A8C">
            <w:pPr>
              <w:spacing w:after="0"/>
              <w:rPr>
                <w:rStyle w:val="textexposedshow"/>
                <w:rFonts w:cs="Calibri"/>
                <w:color w:val="1D2129"/>
                <w:sz w:val="20"/>
                <w:szCs w:val="20"/>
              </w:rPr>
            </w:pPr>
            <w:r w:rsidRPr="00814A8C">
              <w:rPr>
                <w:rStyle w:val="textexposedshow"/>
                <w:rFonts w:cs="Calibri"/>
                <w:color w:val="1D2129"/>
                <w:sz w:val="20"/>
                <w:szCs w:val="20"/>
              </w:rPr>
              <w:t>Encourage community involvement.</w:t>
            </w:r>
          </w:p>
          <w:p w14:paraId="5D17587D" w14:textId="07416A81" w:rsidR="00075FF4" w:rsidRDefault="00814A8C" w:rsidP="00814A8C">
            <w:pPr>
              <w:spacing w:after="0"/>
              <w:rPr>
                <w:rStyle w:val="textexposedshow"/>
                <w:rFonts w:cs="Calibri"/>
                <w:color w:val="1D2129"/>
                <w:sz w:val="20"/>
                <w:szCs w:val="20"/>
              </w:rPr>
            </w:pPr>
            <w:r w:rsidRPr="00814A8C">
              <w:rPr>
                <w:rStyle w:val="textexposedshow"/>
                <w:rFonts w:cs="Calibri"/>
                <w:color w:val="1D2129"/>
                <w:sz w:val="20"/>
                <w:szCs w:val="20"/>
              </w:rPr>
              <w:lastRenderedPageBreak/>
              <w:t>Share resources and guidance with families.</w:t>
            </w:r>
          </w:p>
          <w:p w14:paraId="0A45A61D" w14:textId="357BCBE4" w:rsidR="00814A8C" w:rsidRPr="00814A8C" w:rsidRDefault="00814A8C" w:rsidP="00814A8C">
            <w:pPr>
              <w:jc w:val="center"/>
              <w:rPr>
                <w:rFonts w:cs="Calibri"/>
                <w:sz w:val="20"/>
                <w:szCs w:val="20"/>
              </w:rPr>
            </w:pPr>
          </w:p>
        </w:tc>
        <w:tc>
          <w:tcPr>
            <w:tcW w:w="3402" w:type="dxa"/>
          </w:tcPr>
          <w:p w14:paraId="66495AC9" w14:textId="77777777" w:rsidR="00B5777A" w:rsidRDefault="00B5777A" w:rsidP="00B5777A">
            <w:pPr>
              <w:rPr>
                <w:i/>
              </w:rPr>
            </w:pPr>
            <w:r>
              <w:rPr>
                <w:i/>
              </w:rPr>
              <w:lastRenderedPageBreak/>
              <w:t>Educators’ collaborative partnerships with families or the community supports children’s resilience and wellbeing during transitions. For example:</w:t>
            </w:r>
          </w:p>
          <w:p w14:paraId="272CB81F" w14:textId="55E17668" w:rsidR="00B5777A" w:rsidRDefault="00B5777A" w:rsidP="00B5777A">
            <w:pPr>
              <w:numPr>
                <w:ilvl w:val="0"/>
                <w:numId w:val="41"/>
              </w:numPr>
              <w:pBdr>
                <w:top w:val="nil"/>
                <w:left w:val="nil"/>
                <w:bottom w:val="nil"/>
                <w:right w:val="nil"/>
                <w:between w:val="nil"/>
              </w:pBdr>
              <w:spacing w:after="0" w:line="259" w:lineRule="auto"/>
              <w:rPr>
                <w:color w:val="FF0000"/>
              </w:rPr>
            </w:pPr>
            <w:r>
              <w:rPr>
                <w:color w:val="FF0000"/>
              </w:rPr>
              <w:t xml:space="preserve">undertaking processes with families outlined in transition </w:t>
            </w:r>
            <w:r>
              <w:rPr>
                <w:color w:val="FF0000"/>
              </w:rPr>
              <w:lastRenderedPageBreak/>
              <w:t xml:space="preserve">procedures </w:t>
            </w:r>
          </w:p>
          <w:p w14:paraId="79A054B3" w14:textId="77777777" w:rsidR="00B5777A" w:rsidRDefault="00B5777A" w:rsidP="00B5777A">
            <w:pPr>
              <w:numPr>
                <w:ilvl w:val="0"/>
                <w:numId w:val="41"/>
              </w:numPr>
              <w:pBdr>
                <w:top w:val="nil"/>
                <w:left w:val="nil"/>
                <w:bottom w:val="nil"/>
                <w:right w:val="nil"/>
                <w:between w:val="nil"/>
              </w:pBdr>
              <w:spacing w:after="0" w:line="259" w:lineRule="auto"/>
              <w:rPr>
                <w:color w:val="FF0000"/>
              </w:rPr>
            </w:pPr>
            <w:r>
              <w:rPr>
                <w:color w:val="FF0000"/>
              </w:rPr>
              <w:t>establishing professional relationships with local schools</w:t>
            </w:r>
          </w:p>
          <w:p w14:paraId="16DE5642" w14:textId="77777777" w:rsidR="00B5777A" w:rsidRDefault="00B5777A" w:rsidP="00B5777A">
            <w:pPr>
              <w:numPr>
                <w:ilvl w:val="0"/>
                <w:numId w:val="41"/>
              </w:numPr>
              <w:pBdr>
                <w:top w:val="nil"/>
                <w:left w:val="nil"/>
                <w:bottom w:val="nil"/>
                <w:right w:val="nil"/>
                <w:between w:val="nil"/>
              </w:pBdr>
              <w:spacing w:after="0" w:line="259" w:lineRule="auto"/>
              <w:rPr>
                <w:color w:val="FF0000"/>
              </w:rPr>
            </w:pPr>
            <w:r>
              <w:rPr>
                <w:color w:val="FF0000"/>
              </w:rPr>
              <w:t>visiting schools</w:t>
            </w:r>
          </w:p>
          <w:p w14:paraId="6A9FE5EF" w14:textId="77777777" w:rsidR="00B5777A" w:rsidRDefault="00B5777A" w:rsidP="00B5777A">
            <w:pPr>
              <w:numPr>
                <w:ilvl w:val="0"/>
                <w:numId w:val="41"/>
              </w:numPr>
              <w:pBdr>
                <w:top w:val="nil"/>
                <w:left w:val="nil"/>
                <w:bottom w:val="nil"/>
                <w:right w:val="nil"/>
                <w:between w:val="nil"/>
              </w:pBdr>
              <w:spacing w:after="0" w:line="259" w:lineRule="auto"/>
              <w:rPr>
                <w:color w:val="FF0000"/>
              </w:rPr>
            </w:pPr>
            <w:r>
              <w:rPr>
                <w:color w:val="FF0000"/>
              </w:rPr>
              <w:t>advising of inclusion support agencies/services for children transitioning with additional needs.</w:t>
            </w:r>
          </w:p>
          <w:p w14:paraId="4BC6729F" w14:textId="5376CB66" w:rsidR="00A93BCD" w:rsidRPr="0051497C" w:rsidRDefault="00A93BCD" w:rsidP="00194513">
            <w:pPr>
              <w:pBdr>
                <w:top w:val="nil"/>
                <w:left w:val="nil"/>
                <w:bottom w:val="nil"/>
                <w:right w:val="nil"/>
                <w:between w:val="nil"/>
              </w:pBdr>
              <w:spacing w:after="0" w:line="259" w:lineRule="auto"/>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2EF1672C"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70935">
        <w:rPr>
          <w:rFonts w:ascii="HelveticaNeue-Thin" w:hAnsi="HelveticaNeue-Thin" w:cs="HelveticaNeue-Thin"/>
          <w:b/>
          <w:bCs/>
          <w:color w:val="010202"/>
        </w:rPr>
        <w:t>6</w:t>
      </w:r>
      <w:r w:rsidR="004144DC">
        <w:rPr>
          <w:rFonts w:ascii="HelveticaNeue-Thin" w:hAnsi="HelveticaNeue-Thin" w:cs="HelveticaNeue-Thin"/>
          <w:b/>
          <w:bCs/>
          <w:color w:val="010202"/>
        </w:rPr>
        <w:t>.</w:t>
      </w:r>
      <w:r w:rsidR="006A32AA">
        <w:rPr>
          <w:rFonts w:ascii="HelveticaNeue-Thin" w:hAnsi="HelveticaNeue-Thin" w:cs="HelveticaNeue-Thin"/>
          <w:b/>
          <w:bCs/>
          <w:color w:val="010202"/>
        </w:rPr>
        <w:t xml:space="preserve">2 </w:t>
      </w:r>
      <w:r w:rsidR="00B90E24" w:rsidRPr="00B90E24">
        <w:rPr>
          <w:rFonts w:ascii="HelveticaNeue-Thin" w:hAnsi="HelveticaNeue-Thin" w:cs="HelveticaNeue-Thin"/>
          <w:b/>
          <w:bCs/>
          <w:color w:val="010202"/>
        </w:rPr>
        <w:t>Collaborative</w:t>
      </w:r>
      <w:r w:rsidR="00B90E24">
        <w:rPr>
          <w:rFonts w:ascii="HelveticaNeue-Thin" w:hAnsi="HelveticaNeue-Thin" w:cs="HelveticaNeue-Thin"/>
          <w:b/>
          <w:bCs/>
          <w:color w:val="010202"/>
        </w:rPr>
        <w:t xml:space="preserve"> </w:t>
      </w:r>
      <w:r w:rsidR="00B90E24" w:rsidRPr="00B90E24">
        <w:rPr>
          <w:rFonts w:ascii="HelveticaNeue-Thin" w:hAnsi="HelveticaNeue-Thin" w:cs="HelveticaNeue-Thin"/>
          <w:b/>
          <w:bCs/>
          <w:color w:val="010202"/>
        </w:rPr>
        <w:t>Partnerships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1D3A9957" w:rsidR="00B0081A" w:rsidRDefault="008D4EE1" w:rsidP="00B0081A">
            <w:pPr>
              <w:spacing w:after="0"/>
              <w:jc w:val="both"/>
              <w:rPr>
                <w:rFonts w:cs="Arial"/>
              </w:rPr>
            </w:pPr>
            <w:r w:rsidRPr="00B0081A">
              <w:rPr>
                <w:rFonts w:cs="Arial"/>
              </w:rPr>
              <w:t xml:space="preserve">In the strength example for element </w:t>
            </w:r>
            <w:r w:rsidR="00B90E24">
              <w:rPr>
                <w:rFonts w:cs="Arial"/>
              </w:rPr>
              <w:t>6.2.1</w:t>
            </w:r>
            <w:r w:rsidR="00862DE6">
              <w:rPr>
                <w:rFonts w:cs="Arial"/>
              </w:rPr>
              <w:t xml:space="preserve"> </w:t>
            </w:r>
            <w:r w:rsidRPr="00B0081A">
              <w:rPr>
                <w:rFonts w:cs="Arial"/>
              </w:rPr>
              <w:t>we have identified the following exceeding theme indicators:</w:t>
            </w:r>
          </w:p>
          <w:p w14:paraId="4E7DC49D" w14:textId="6F1C75A3" w:rsidR="008D4EE1" w:rsidRPr="00E20089" w:rsidRDefault="00CF650E" w:rsidP="00BA0424">
            <w:pPr>
              <w:numPr>
                <w:ilvl w:val="0"/>
                <w:numId w:val="1"/>
              </w:numPr>
              <w:rPr>
                <w:rFonts w:cs="Arial"/>
                <w:iCs/>
              </w:rPr>
            </w:pPr>
            <w:r w:rsidRPr="00CF650E">
              <w:t>Educators systematically promote continuity of learning and effective transitions for each child</w:t>
            </w:r>
            <w:r w:rsidR="00F52D61">
              <w: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6EE760BC" w:rsidR="00A16148" w:rsidRDefault="008D4EE1" w:rsidP="002D52F5">
            <w:pPr>
              <w:spacing w:after="0"/>
            </w:pPr>
            <w:r w:rsidRPr="00B0081A">
              <w:t xml:space="preserve">In the strength example for element </w:t>
            </w:r>
            <w:r w:rsidR="00B90E24">
              <w:rPr>
                <w:rFonts w:cs="Arial"/>
              </w:rPr>
              <w:t xml:space="preserve">6.2.1 </w:t>
            </w:r>
            <w:r w:rsidRPr="00B0081A">
              <w:t>we have identified the following exceeding theme indicators:</w:t>
            </w:r>
            <w:r w:rsidR="00A16148" w:rsidRPr="00B0081A">
              <w:t xml:space="preserve"> </w:t>
            </w:r>
          </w:p>
          <w:p w14:paraId="79641D8F" w14:textId="59034E80" w:rsidR="00B0081A" w:rsidRPr="00E20089" w:rsidRDefault="00D53D09" w:rsidP="00405E26">
            <w:pPr>
              <w:numPr>
                <w:ilvl w:val="0"/>
                <w:numId w:val="1"/>
              </w:numPr>
              <w:spacing w:after="0"/>
              <w:rPr>
                <w:iCs/>
              </w:rPr>
            </w:pPr>
            <w:r w:rsidRPr="00D53D09">
              <w:rPr>
                <w:iCs/>
              </w:rPr>
              <w:t>Educators’ transition practices are consistent with practice theory, the approved learning framework/s, and the service’s policies and procedures.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EF88A98" w:rsidR="00317C21" w:rsidRDefault="008D4EE1" w:rsidP="00B0081A">
            <w:pPr>
              <w:spacing w:after="0"/>
            </w:pPr>
            <w:r w:rsidRPr="00B0081A">
              <w:t xml:space="preserve">In the strength example for element </w:t>
            </w:r>
            <w:r w:rsidR="00B90E24">
              <w:rPr>
                <w:rFonts w:cs="Arial"/>
              </w:rPr>
              <w:t xml:space="preserve">6.2.1 </w:t>
            </w:r>
            <w:r w:rsidRPr="00B0081A">
              <w:t>we have identified the following exceeding theme indicators:</w:t>
            </w:r>
          </w:p>
          <w:p w14:paraId="6FF3C3FB" w14:textId="14974EC2" w:rsidR="00B0081A" w:rsidRPr="006726C0" w:rsidRDefault="00385D8C" w:rsidP="007E14DC">
            <w:pPr>
              <w:numPr>
                <w:ilvl w:val="0"/>
                <w:numId w:val="32"/>
              </w:numPr>
              <w:rPr>
                <w:iCs/>
              </w:rPr>
            </w:pPr>
            <w:r w:rsidRPr="00385D8C">
              <w:rPr>
                <w:iCs/>
              </w:rPr>
              <w:t>Educators’ collaborative partnerships with families or the community supports children’s resilience and wellbeing during transitions.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2"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28"/>
  </w:num>
  <w:num w:numId="2" w16cid:durableId="2047951240">
    <w:abstractNumId w:val="34"/>
  </w:num>
  <w:num w:numId="3" w16cid:durableId="677923796">
    <w:abstractNumId w:val="25"/>
  </w:num>
  <w:num w:numId="4" w16cid:durableId="764031647">
    <w:abstractNumId w:val="31"/>
  </w:num>
  <w:num w:numId="5" w16cid:durableId="941841055">
    <w:abstractNumId w:val="39"/>
  </w:num>
  <w:num w:numId="6" w16cid:durableId="1583756430">
    <w:abstractNumId w:val="17"/>
  </w:num>
  <w:num w:numId="7" w16cid:durableId="1628855747">
    <w:abstractNumId w:val="14"/>
  </w:num>
  <w:num w:numId="8" w16cid:durableId="1581257911">
    <w:abstractNumId w:val="1"/>
  </w:num>
  <w:num w:numId="9" w16cid:durableId="1779835487">
    <w:abstractNumId w:val="2"/>
  </w:num>
  <w:num w:numId="10" w16cid:durableId="920917211">
    <w:abstractNumId w:val="10"/>
  </w:num>
  <w:num w:numId="11" w16cid:durableId="1668485436">
    <w:abstractNumId w:val="29"/>
  </w:num>
  <w:num w:numId="12" w16cid:durableId="181669609">
    <w:abstractNumId w:val="30"/>
  </w:num>
  <w:num w:numId="13" w16cid:durableId="1749885825">
    <w:abstractNumId w:val="38"/>
  </w:num>
  <w:num w:numId="14" w16cid:durableId="276302035">
    <w:abstractNumId w:val="43"/>
  </w:num>
  <w:num w:numId="15" w16cid:durableId="818883266">
    <w:abstractNumId w:val="23"/>
  </w:num>
  <w:num w:numId="16" w16cid:durableId="1715689987">
    <w:abstractNumId w:val="40"/>
  </w:num>
  <w:num w:numId="17" w16cid:durableId="836337608">
    <w:abstractNumId w:val="4"/>
  </w:num>
  <w:num w:numId="18" w16cid:durableId="2104764159">
    <w:abstractNumId w:val="7"/>
  </w:num>
  <w:num w:numId="19" w16cid:durableId="876548312">
    <w:abstractNumId w:val="36"/>
  </w:num>
  <w:num w:numId="20" w16cid:durableId="1603605334">
    <w:abstractNumId w:val="15"/>
  </w:num>
  <w:num w:numId="21" w16cid:durableId="713507571">
    <w:abstractNumId w:val="6"/>
  </w:num>
  <w:num w:numId="22" w16cid:durableId="650211910">
    <w:abstractNumId w:val="24"/>
  </w:num>
  <w:num w:numId="23" w16cid:durableId="1958945801">
    <w:abstractNumId w:val="42"/>
  </w:num>
  <w:num w:numId="24" w16cid:durableId="528756863">
    <w:abstractNumId w:val="5"/>
  </w:num>
  <w:num w:numId="25" w16cid:durableId="455609949">
    <w:abstractNumId w:val="11"/>
  </w:num>
  <w:num w:numId="26" w16cid:durableId="1865484709">
    <w:abstractNumId w:val="13"/>
  </w:num>
  <w:num w:numId="27" w16cid:durableId="537427685">
    <w:abstractNumId w:val="0"/>
  </w:num>
  <w:num w:numId="28" w16cid:durableId="423494888">
    <w:abstractNumId w:val="33"/>
  </w:num>
  <w:num w:numId="29" w16cid:durableId="1675764481">
    <w:abstractNumId w:val="12"/>
  </w:num>
  <w:num w:numId="30" w16cid:durableId="64569135">
    <w:abstractNumId w:val="3"/>
  </w:num>
  <w:num w:numId="31" w16cid:durableId="475535588">
    <w:abstractNumId w:val="37"/>
  </w:num>
  <w:num w:numId="32" w16cid:durableId="782191672">
    <w:abstractNumId w:val="27"/>
  </w:num>
  <w:num w:numId="33" w16cid:durableId="1510679432">
    <w:abstractNumId w:val="22"/>
  </w:num>
  <w:num w:numId="34" w16cid:durableId="1912235038">
    <w:abstractNumId w:val="26"/>
  </w:num>
  <w:num w:numId="35" w16cid:durableId="1226380040">
    <w:abstractNumId w:val="21"/>
  </w:num>
  <w:num w:numId="36" w16cid:durableId="1085570105">
    <w:abstractNumId w:val="19"/>
  </w:num>
  <w:num w:numId="37" w16cid:durableId="151798293">
    <w:abstractNumId w:val="9"/>
  </w:num>
  <w:num w:numId="38" w16cid:durableId="415634888">
    <w:abstractNumId w:val="20"/>
  </w:num>
  <w:num w:numId="39" w16cid:durableId="762577756">
    <w:abstractNumId w:val="16"/>
  </w:num>
  <w:num w:numId="40" w16cid:durableId="1225987413">
    <w:abstractNumId w:val="35"/>
  </w:num>
  <w:num w:numId="41" w16cid:durableId="731854087">
    <w:abstractNumId w:val="41"/>
  </w:num>
  <w:num w:numId="42" w16cid:durableId="766272141">
    <w:abstractNumId w:val="44"/>
  </w:num>
  <w:num w:numId="43" w16cid:durableId="1918859461">
    <w:abstractNumId w:val="18"/>
  </w:num>
  <w:num w:numId="44" w16cid:durableId="1650597940">
    <w:abstractNumId w:val="32"/>
  </w:num>
  <w:num w:numId="45" w16cid:durableId="1237375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730C"/>
    <w:rsid w:val="001D0426"/>
    <w:rsid w:val="001D070B"/>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900B3F"/>
    <w:rsid w:val="00900DEE"/>
    <w:rsid w:val="00901206"/>
    <w:rsid w:val="009017CC"/>
    <w:rsid w:val="00902F29"/>
    <w:rsid w:val="0090377D"/>
    <w:rsid w:val="009038A0"/>
    <w:rsid w:val="00904450"/>
    <w:rsid w:val="00911663"/>
    <w:rsid w:val="009149D3"/>
    <w:rsid w:val="00914F9D"/>
    <w:rsid w:val="00917C3E"/>
    <w:rsid w:val="009255B0"/>
    <w:rsid w:val="009260E3"/>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5A60"/>
    <w:rsid w:val="009761CB"/>
    <w:rsid w:val="009772C4"/>
    <w:rsid w:val="009822EF"/>
    <w:rsid w:val="00982C68"/>
    <w:rsid w:val="00987ECA"/>
    <w:rsid w:val="00992DEA"/>
    <w:rsid w:val="00993651"/>
    <w:rsid w:val="00993BDE"/>
    <w:rsid w:val="009A05E5"/>
    <w:rsid w:val="009A1A41"/>
    <w:rsid w:val="009A32B5"/>
    <w:rsid w:val="009A4869"/>
    <w:rsid w:val="009A5DBF"/>
    <w:rsid w:val="009B0B22"/>
    <w:rsid w:val="009B4161"/>
    <w:rsid w:val="009B5B52"/>
    <w:rsid w:val="009B5D0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5C52"/>
    <w:rsid w:val="00B25F3C"/>
    <w:rsid w:val="00B27225"/>
    <w:rsid w:val="00B32C03"/>
    <w:rsid w:val="00B33BD6"/>
    <w:rsid w:val="00B346E4"/>
    <w:rsid w:val="00B347E5"/>
    <w:rsid w:val="00B34F39"/>
    <w:rsid w:val="00B40586"/>
    <w:rsid w:val="00B42004"/>
    <w:rsid w:val="00B43418"/>
    <w:rsid w:val="00B43553"/>
    <w:rsid w:val="00B4540E"/>
    <w:rsid w:val="00B463E3"/>
    <w:rsid w:val="00B46BDE"/>
    <w:rsid w:val="00B471F8"/>
    <w:rsid w:val="00B47C1D"/>
    <w:rsid w:val="00B505AB"/>
    <w:rsid w:val="00B5391E"/>
    <w:rsid w:val="00B5777A"/>
    <w:rsid w:val="00B57E7F"/>
    <w:rsid w:val="00B63C01"/>
    <w:rsid w:val="00B640D6"/>
    <w:rsid w:val="00B7442D"/>
    <w:rsid w:val="00B75504"/>
    <w:rsid w:val="00B75C8F"/>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0935"/>
    <w:rsid w:val="00C72AC5"/>
    <w:rsid w:val="00C7454C"/>
    <w:rsid w:val="00C75D2C"/>
    <w:rsid w:val="00C773CF"/>
    <w:rsid w:val="00C8413D"/>
    <w:rsid w:val="00C84374"/>
    <w:rsid w:val="00C849DD"/>
    <w:rsid w:val="00C8709F"/>
    <w:rsid w:val="00C872C1"/>
    <w:rsid w:val="00C94DF1"/>
    <w:rsid w:val="00C9694E"/>
    <w:rsid w:val="00CA0721"/>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5060A"/>
    <w:rsid w:val="00E55537"/>
    <w:rsid w:val="00E57888"/>
    <w:rsid w:val="00E57A01"/>
    <w:rsid w:val="00E63125"/>
    <w:rsid w:val="00E7045F"/>
    <w:rsid w:val="00E73ED8"/>
    <w:rsid w:val="00E77664"/>
    <w:rsid w:val="00E825CF"/>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06"/>
    <w:rsid w:val="00FA536C"/>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272</cp:revision>
  <dcterms:created xsi:type="dcterms:W3CDTF">2023-03-23T23:03:00Z</dcterms:created>
  <dcterms:modified xsi:type="dcterms:W3CDTF">2023-10-06T01:15:00Z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