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31C7175D"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CA2C1F">
        <w:rPr>
          <w:rFonts w:ascii="HelveticaNeue-Thin" w:hAnsi="HelveticaNeue-Thin" w:cs="HelveticaNeue-Thin"/>
          <w:color w:val="010202"/>
          <w:sz w:val="28"/>
          <w:szCs w:val="28"/>
        </w:rPr>
        <w:t>6</w:t>
      </w:r>
      <w:r w:rsidR="004268F1">
        <w:rPr>
          <w:rFonts w:ascii="HelveticaNeue-Thin" w:hAnsi="HelveticaNeue-Thin" w:cs="HelveticaNeue-Thin"/>
          <w:color w:val="010202"/>
          <w:sz w:val="28"/>
          <w:szCs w:val="28"/>
        </w:rPr>
        <w:t xml:space="preserve"> </w:t>
      </w:r>
      <w:r w:rsidR="009934D5">
        <w:rPr>
          <w:rFonts w:ascii="HelveticaNeue-Thin" w:hAnsi="HelveticaNeue-Thin" w:cs="HelveticaNeue-Thin"/>
          <w:color w:val="010202"/>
          <w:sz w:val="28"/>
          <w:szCs w:val="28"/>
        </w:rPr>
        <w:t>13 to 1</w:t>
      </w:r>
      <w:r w:rsidR="009139AF">
        <w:rPr>
          <w:rFonts w:ascii="HelveticaNeue-Thin" w:hAnsi="HelveticaNeue-Thin" w:cs="HelveticaNeue-Thin"/>
          <w:color w:val="010202"/>
          <w:sz w:val="28"/>
          <w:szCs w:val="28"/>
        </w:rPr>
        <w:t>7</w:t>
      </w:r>
      <w:r w:rsidR="009934D5">
        <w:rPr>
          <w:rFonts w:ascii="HelveticaNeue-Thin" w:hAnsi="HelveticaNeue-Thin" w:cs="HelveticaNeue-Thin"/>
          <w:color w:val="010202"/>
          <w:sz w:val="28"/>
          <w:szCs w:val="28"/>
        </w:rPr>
        <w:t xml:space="preserve"> Novem</w:t>
      </w:r>
      <w:r w:rsidR="003075EE">
        <w:rPr>
          <w:rFonts w:ascii="HelveticaNeue-Thin" w:hAnsi="HelveticaNeue-Thin" w:cs="HelveticaNeue-Thin"/>
          <w:color w:val="010202"/>
          <w:sz w:val="28"/>
          <w:szCs w:val="28"/>
        </w:rPr>
        <w:t>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8BF36F7"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E73ED8">
              <w:rPr>
                <w:b/>
              </w:rPr>
              <w:t>4.</w:t>
            </w:r>
            <w:r w:rsidR="0026071E">
              <w:rPr>
                <w:b/>
              </w:rPr>
              <w:t>1</w:t>
            </w:r>
            <w:r w:rsidR="00E73ED8">
              <w:rPr>
                <w:b/>
              </w:rPr>
              <w:t>.</w:t>
            </w:r>
            <w:r w:rsidR="009934D5">
              <w:rPr>
                <w:b/>
              </w:rPr>
              <w:t>1</w:t>
            </w:r>
          </w:p>
        </w:tc>
        <w:tc>
          <w:tcPr>
            <w:tcW w:w="13467" w:type="dxa"/>
          </w:tcPr>
          <w:p w14:paraId="0A55E0BC" w14:textId="52C40F36" w:rsidR="00075FF4" w:rsidRPr="0026071E" w:rsidRDefault="0026071E" w:rsidP="0026071E">
            <w:pPr>
              <w:autoSpaceDE w:val="0"/>
              <w:autoSpaceDN w:val="0"/>
              <w:adjustRightInd w:val="0"/>
              <w:spacing w:line="241" w:lineRule="atLeast"/>
              <w:rPr>
                <w:rFonts w:cs="Calibri"/>
                <w:color w:val="221E1F"/>
              </w:rPr>
            </w:pPr>
            <w:r>
              <w:rPr>
                <w:rFonts w:cs="Calibri"/>
                <w:b/>
                <w:bCs/>
                <w:color w:val="221E1F"/>
              </w:rPr>
              <w:t>Organisation of Educators</w:t>
            </w:r>
            <w:r w:rsidR="006071EE" w:rsidRPr="006071EE">
              <w:rPr>
                <w:rFonts w:cs="Calibri"/>
                <w:b/>
                <w:bCs/>
                <w:color w:val="221E1F"/>
              </w:rPr>
              <w:br/>
            </w:r>
            <w:r w:rsidRPr="0026071E">
              <w:rPr>
                <w:rFonts w:cs="Calibri"/>
                <w:color w:val="221E1F"/>
              </w:rPr>
              <w:t>The organisation of educators across the service supports children’s learning and development</w:t>
            </w:r>
            <w:r>
              <w:rPr>
                <w:rFonts w:cs="Calibri"/>
                <w:color w:val="221E1F"/>
              </w:rPr>
              <w:t>.</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4952FAA3" w14:textId="77777777" w:rsidR="003216A2" w:rsidRPr="00E27C17" w:rsidRDefault="00AB2C41">
            <w:pPr>
              <w:shd w:val="clear" w:color="auto" w:fill="FFFFFF"/>
              <w:spacing w:after="0"/>
            </w:pPr>
            <w:r w:rsidRPr="00D606FF">
              <w:rPr>
                <w:b/>
                <w:bCs/>
                <w:lang w:val="en-US"/>
              </w:rPr>
              <w:t>MEETING</w:t>
            </w:r>
            <w:r w:rsidR="000C1591">
              <w:rPr>
                <w:b/>
                <w:bCs/>
                <w:lang w:val="en-US"/>
              </w:rPr>
              <w:t xml:space="preserve"> - </w:t>
            </w:r>
            <w:r w:rsidR="003216A2" w:rsidRPr="00E27C17">
              <w:rPr>
                <w:b/>
                <w:bCs/>
              </w:rPr>
              <w:t xml:space="preserve">Educators Supports Children’s Learning: </w:t>
            </w:r>
            <w:r w:rsidR="003216A2" w:rsidRPr="00E27C17">
              <w:t>To support children's learning, our early learning centre uses a 'Learning Pod' system where educators with different specialisations collaborate to offer a comprehensive educational experience. For example, children rotate between activities focused on literacy, arts, and physical development throughout the day, ensuring they receive varied and targeted learning opportunities.</w:t>
            </w:r>
          </w:p>
          <w:p w14:paraId="0F660D85" w14:textId="77777777" w:rsidR="003216A2" w:rsidRPr="00E27C17" w:rsidRDefault="003216A2">
            <w:pPr>
              <w:shd w:val="clear" w:color="auto" w:fill="FFFFFF"/>
              <w:spacing w:after="0"/>
              <w:rPr>
                <w:b/>
                <w:bCs/>
              </w:rPr>
            </w:pPr>
          </w:p>
          <w:p w14:paraId="592153AC" w14:textId="77777777" w:rsidR="003216A2" w:rsidRPr="00E27C17" w:rsidRDefault="003216A2">
            <w:pPr>
              <w:shd w:val="clear" w:color="auto" w:fill="FFFFFF"/>
              <w:spacing w:after="0"/>
              <w:rPr>
                <w:b/>
                <w:bCs/>
              </w:rPr>
            </w:pPr>
            <w:r w:rsidRPr="00E27C17">
              <w:rPr>
                <w:b/>
                <w:bCs/>
              </w:rPr>
              <w:t xml:space="preserve">Educators Are Organised to Support Professional Relationships and Communication with Families: </w:t>
            </w:r>
            <w:r w:rsidRPr="00E27C17">
              <w:t>We foster strong relationships with families through our 'Family Partnership Program,' where each family is assigned an educator liaison. This educator keeps families updated and involved in their child's progress using personalised communication methods, ranging from digital platforms to in-person meetings.</w:t>
            </w:r>
          </w:p>
          <w:p w14:paraId="6E93DBB4" w14:textId="77777777" w:rsidR="003216A2" w:rsidRPr="00E27C17" w:rsidRDefault="003216A2">
            <w:pPr>
              <w:shd w:val="clear" w:color="auto" w:fill="FFFFFF"/>
              <w:spacing w:after="0"/>
              <w:rPr>
                <w:b/>
                <w:bCs/>
              </w:rPr>
            </w:pPr>
          </w:p>
          <w:p w14:paraId="0C683363" w14:textId="396069A6" w:rsidR="00375163" w:rsidRDefault="003216A2">
            <w:pPr>
              <w:shd w:val="clear" w:color="auto" w:fill="FFFFFF"/>
              <w:spacing w:after="0"/>
            </w:pPr>
            <w:r w:rsidRPr="00E27C17">
              <w:rPr>
                <w:b/>
                <w:bCs/>
              </w:rPr>
              <w:t xml:space="preserve">Educators Ensure They Always Meet Ratios: </w:t>
            </w:r>
            <w:r w:rsidRPr="00E27C17">
              <w:t>To consistently meet educator-to-child ratios, our centre employs strategic shift scheduling and maintains a roster of on-call staff. Educators conduct regular headcounts and utilise float staff to adapt to changing needs throughout the day. Additionally, careful planning around activities ensures that supervision remains thorough and ratios are adhered to, prioritising children's safety and quality of care.</w:t>
            </w:r>
          </w:p>
          <w:p w14:paraId="0D8F4F9F" w14:textId="148814F0" w:rsidR="000C1591" w:rsidRDefault="000C1591">
            <w:pPr>
              <w:shd w:val="clear" w:color="auto" w:fill="FFFFFF"/>
              <w:spacing w:after="0"/>
            </w:pPr>
          </w:p>
          <w:p w14:paraId="1C1B04EE" w14:textId="54FB7C1A" w:rsidR="00AB2C41" w:rsidRPr="00AB2C41" w:rsidRDefault="00AB2C41">
            <w:pPr>
              <w:shd w:val="clear" w:color="auto" w:fill="FFFFFF"/>
              <w:spacing w:after="0" w:line="240" w:lineRule="auto"/>
              <w:rPr>
                <w:b/>
                <w:bCs/>
              </w:rPr>
            </w:pPr>
            <w:r w:rsidRPr="00AB2C41">
              <w:rPr>
                <w:b/>
                <w:bCs/>
              </w:rPr>
              <w:t>EXCEEDING</w:t>
            </w:r>
          </w:p>
          <w:p w14:paraId="57159232" w14:textId="77777777" w:rsidR="00A87C83" w:rsidRPr="00E27C17" w:rsidRDefault="00AB2C41">
            <w:pPr>
              <w:shd w:val="clear" w:color="auto" w:fill="FFFFFF"/>
              <w:spacing w:after="0"/>
            </w:pPr>
            <w:r w:rsidRPr="00AB2C41">
              <w:rPr>
                <w:b/>
                <w:bCs/>
              </w:rPr>
              <w:t>Embedded practice -</w:t>
            </w:r>
            <w:r>
              <w:t xml:space="preserve"> </w:t>
            </w:r>
            <w:r w:rsidR="00A87C83" w:rsidRPr="00E27C17">
              <w:t>Our service philosophy, alongside our policies and procedures, guides the organisation of our educators to ensure inclusivity and the realisation of every child's potential. We emphasise safe, engaging, and inclusive activities, value family engagement, and are committed to continuous improvement. To facilitate our educators' development, we maintain a 'skills wall' for them to document and reflect on their professional growth, enhancing the quality of care and education we provide.</w:t>
            </w:r>
          </w:p>
          <w:p w14:paraId="5FA01D7D" w14:textId="77777777" w:rsidR="00E85CD3" w:rsidRPr="00E27C17" w:rsidRDefault="00AB2C41">
            <w:pPr>
              <w:shd w:val="clear" w:color="auto" w:fill="FFFFFF"/>
              <w:spacing w:after="0"/>
            </w:pPr>
            <w:r w:rsidRPr="00D606FF">
              <w:rPr>
                <w:b/>
                <w:bCs/>
                <w:iCs/>
              </w:rPr>
              <w:t>Critical Reflection -</w:t>
            </w:r>
            <w:r>
              <w:rPr>
                <w:i/>
              </w:rPr>
              <w:t xml:space="preserve"> </w:t>
            </w:r>
            <w:r w:rsidR="00E85CD3" w:rsidRPr="00E27C17">
              <w:t>We changed the organisation of educators to enhance children’s learning outcomes for various reasons. To support continuity of educators, we enable familiar educators to work with children and many are moved up with the children at the end of the year into older rooms. We have improved the mix of qualifications, experience, and cultural background, which enables educators to use their strengths and interests. We support professional development.</w:t>
            </w:r>
          </w:p>
          <w:p w14:paraId="58F0434F" w14:textId="4A28501C" w:rsidR="0026071E" w:rsidRDefault="00AB2C41" w:rsidP="0026071E">
            <w:pPr>
              <w:shd w:val="clear" w:color="auto" w:fill="FFFFFF"/>
              <w:rPr>
                <w:b/>
                <w:bCs/>
                <w:iCs/>
              </w:rPr>
            </w:pPr>
            <w:r w:rsidRPr="00D606FF">
              <w:rPr>
                <w:b/>
                <w:bCs/>
                <w:iCs/>
              </w:rPr>
              <w:t xml:space="preserve">Families and community </w:t>
            </w:r>
            <w:r w:rsidR="00707D4C">
              <w:rPr>
                <w:b/>
                <w:bCs/>
                <w:iCs/>
              </w:rPr>
              <w:t>–</w:t>
            </w:r>
            <w:r w:rsidR="0011160F">
              <w:rPr>
                <w:b/>
                <w:bCs/>
                <w:iCs/>
              </w:rPr>
              <w:t xml:space="preserve"> </w:t>
            </w:r>
            <w:r w:rsidR="0011160F" w:rsidRPr="00E27C17">
              <w:t>The organisation of educators reflects the unique geographical, cultural, and community context. Dubbo has undergone a cultural shift in the past few years with an increased influx of migrants. We are fortunate to have educators with the same cultural/language backgrounds to place with our children. Educators’ strengths and interests from a community are present. Soccer and gymnastics are popular sports and we have educators with these skills.</w:t>
            </w:r>
          </w:p>
          <w:p w14:paraId="74714799" w14:textId="51482CEC" w:rsidR="00E57A01" w:rsidRPr="00D606FF" w:rsidRDefault="00D606FF" w:rsidP="0026071E">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26071E" w:rsidRPr="005025C5" w14:paraId="71245204" w14:textId="77777777" w:rsidTr="001C210D">
        <w:trPr>
          <w:trHeight w:val="572"/>
        </w:trPr>
        <w:tc>
          <w:tcPr>
            <w:tcW w:w="1917" w:type="dxa"/>
            <w:shd w:val="clear" w:color="auto" w:fill="DAEEF3"/>
          </w:tcPr>
          <w:p w14:paraId="2AB39F68" w14:textId="23BF31BC" w:rsidR="0026071E" w:rsidRPr="000160DF" w:rsidRDefault="0026071E" w:rsidP="0026071E">
            <w:pPr>
              <w:pStyle w:val="NoSpacing"/>
              <w:rPr>
                <w:b/>
              </w:rPr>
            </w:pPr>
            <w:r>
              <w:rPr>
                <w:b/>
              </w:rPr>
              <w:t>Element 4.1.1</w:t>
            </w:r>
          </w:p>
        </w:tc>
        <w:tc>
          <w:tcPr>
            <w:tcW w:w="13393" w:type="dxa"/>
            <w:shd w:val="clear" w:color="auto" w:fill="FFFFFF"/>
          </w:tcPr>
          <w:p w14:paraId="47F7311F" w14:textId="562AC2C4" w:rsidR="0026071E" w:rsidRPr="00D67E81" w:rsidRDefault="0026071E" w:rsidP="0026071E">
            <w:pPr>
              <w:spacing w:after="0" w:line="240" w:lineRule="auto"/>
            </w:pPr>
            <w:r>
              <w:rPr>
                <w:rFonts w:cs="Calibri"/>
                <w:b/>
                <w:bCs/>
                <w:color w:val="221E1F"/>
              </w:rPr>
              <w:t>Organisation of Educators</w:t>
            </w:r>
            <w:r w:rsidRPr="006071EE">
              <w:rPr>
                <w:rFonts w:cs="Calibri"/>
                <w:b/>
                <w:bCs/>
                <w:color w:val="221E1F"/>
              </w:rPr>
              <w:br/>
            </w:r>
            <w:r w:rsidRPr="0026071E">
              <w:rPr>
                <w:rFonts w:cs="Calibri"/>
                <w:color w:val="221E1F"/>
              </w:rPr>
              <w:t>The organisation of educators across the service supports children’s learning and development</w:t>
            </w:r>
            <w:r>
              <w:rPr>
                <w:rFonts w:cs="Calibri"/>
                <w:color w:val="221E1F"/>
              </w:rP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593382B2" w:rsidR="00075FF4" w:rsidRPr="0026071E" w:rsidRDefault="00194513" w:rsidP="00075FF4">
            <w:pPr>
              <w:pStyle w:val="NormalWeb"/>
              <w:spacing w:before="0" w:beforeAutospacing="0" w:after="0" w:afterAutospacing="0"/>
              <w:rPr>
                <w:sz w:val="22"/>
                <w:szCs w:val="22"/>
                <w:lang w:eastAsia="en-AU"/>
              </w:rPr>
            </w:pPr>
            <w:r w:rsidRPr="0026071E">
              <w:rPr>
                <w:rFonts w:ascii="Calibri" w:hAnsi="Calibri" w:cs="Calibri"/>
                <w:color w:val="000000"/>
                <w:sz w:val="18"/>
                <w:szCs w:val="18"/>
              </w:rPr>
              <w:t>4.</w:t>
            </w:r>
            <w:r w:rsidR="0026071E" w:rsidRPr="0026071E">
              <w:rPr>
                <w:rFonts w:ascii="Calibri" w:hAnsi="Calibri" w:cs="Calibri"/>
                <w:color w:val="000000"/>
                <w:sz w:val="18"/>
                <w:szCs w:val="18"/>
              </w:rPr>
              <w:t>1.1</w:t>
            </w:r>
          </w:p>
          <w:p w14:paraId="0717B254" w14:textId="687F7BDB" w:rsidR="00075FF4" w:rsidRPr="0026071E" w:rsidRDefault="00075FF4" w:rsidP="00075FF4">
            <w:pPr>
              <w:pStyle w:val="NormalWeb"/>
              <w:spacing w:before="0" w:beforeAutospacing="0" w:after="0" w:afterAutospacing="0"/>
              <w:rPr>
                <w:sz w:val="22"/>
                <w:szCs w:val="22"/>
              </w:rPr>
            </w:pPr>
            <w:r w:rsidRPr="0026071E">
              <w:rPr>
                <w:rFonts w:ascii="Calibri" w:hAnsi="Calibri" w:cs="Calibri"/>
                <w:color w:val="000000"/>
                <w:sz w:val="18"/>
                <w:szCs w:val="18"/>
              </w:rPr>
              <w:t>Week</w:t>
            </w:r>
            <w:r w:rsidR="00333320" w:rsidRPr="0026071E">
              <w:rPr>
                <w:rFonts w:ascii="Calibri" w:hAnsi="Calibri" w:cs="Calibri"/>
                <w:color w:val="000000"/>
                <w:sz w:val="18"/>
                <w:szCs w:val="18"/>
              </w:rPr>
              <w:t xml:space="preserve"> </w:t>
            </w:r>
            <w:r w:rsidR="006C6894" w:rsidRPr="0026071E">
              <w:rPr>
                <w:rFonts w:ascii="Calibri" w:hAnsi="Calibri" w:cs="Calibri"/>
                <w:color w:val="000000"/>
                <w:sz w:val="18"/>
                <w:szCs w:val="18"/>
              </w:rPr>
              <w:t>3</w:t>
            </w:r>
            <w:r w:rsidR="0026071E" w:rsidRPr="0026071E">
              <w:rPr>
                <w:rFonts w:ascii="Calibri" w:hAnsi="Calibri" w:cs="Calibri"/>
                <w:color w:val="000000"/>
                <w:sz w:val="18"/>
                <w:szCs w:val="18"/>
              </w:rPr>
              <w:t>6</w:t>
            </w:r>
          </w:p>
          <w:p w14:paraId="3320FC3C" w14:textId="3A125005" w:rsidR="00075FF4" w:rsidRPr="00740FED" w:rsidRDefault="00075FF4" w:rsidP="00075FF4">
            <w:pPr>
              <w:pStyle w:val="NoSpacing"/>
              <w:rPr>
                <w:sz w:val="18"/>
                <w:szCs w:val="18"/>
              </w:rPr>
            </w:pPr>
            <w:r w:rsidRPr="0026071E">
              <w:rPr>
                <w:rFonts w:cs="Calibri"/>
                <w:color w:val="000000"/>
                <w:sz w:val="18"/>
                <w:szCs w:val="18"/>
              </w:rPr>
              <w:t xml:space="preserve">Date: </w:t>
            </w:r>
            <w:r w:rsidR="0026071E" w:rsidRPr="0026071E">
              <w:rPr>
                <w:rFonts w:cs="Calibri"/>
                <w:color w:val="000000"/>
                <w:sz w:val="18"/>
                <w:szCs w:val="18"/>
              </w:rPr>
              <w:t>13/11</w:t>
            </w:r>
            <w:r w:rsidRPr="0026071E">
              <w:rPr>
                <w:rFonts w:cs="Calibri"/>
                <w:color w:val="000000"/>
                <w:sz w:val="18"/>
                <w:szCs w:val="18"/>
              </w:rPr>
              <w:t>/23</w:t>
            </w:r>
          </w:p>
        </w:tc>
        <w:tc>
          <w:tcPr>
            <w:tcW w:w="1403" w:type="dxa"/>
          </w:tcPr>
          <w:p w14:paraId="13795AB9" w14:textId="613E4A2B" w:rsidR="00075FF4" w:rsidRPr="0057302A" w:rsidRDefault="004504D2" w:rsidP="00466395">
            <w:pPr>
              <w:spacing w:after="0" w:line="240" w:lineRule="auto"/>
              <w:rPr>
                <w:rStyle w:val="textexposedshow"/>
                <w:rFonts w:cs="Calibri"/>
                <w:color w:val="1D2129"/>
                <w:sz w:val="20"/>
                <w:szCs w:val="20"/>
              </w:rPr>
            </w:pPr>
            <w:r w:rsidRPr="004504D2">
              <w:rPr>
                <w:rStyle w:val="textexposedshow"/>
                <w:rFonts w:cs="Calibri"/>
                <w:color w:val="1D2129"/>
                <w:sz w:val="20"/>
                <w:szCs w:val="20"/>
              </w:rPr>
              <w:t>Lack of coordination among educators, impacting children's learning.</w:t>
            </w:r>
          </w:p>
        </w:tc>
        <w:tc>
          <w:tcPr>
            <w:tcW w:w="2268" w:type="dxa"/>
          </w:tcPr>
          <w:p w14:paraId="319A2547" w14:textId="088B3C6F" w:rsidR="00A93BCD" w:rsidRPr="00A93BCD" w:rsidRDefault="008F7DE3" w:rsidP="00154B17">
            <w:pPr>
              <w:rPr>
                <w:rFonts w:cs="Calibri"/>
                <w:sz w:val="20"/>
                <w:szCs w:val="20"/>
              </w:rPr>
            </w:pPr>
            <w:r w:rsidRPr="008F7DE3">
              <w:rPr>
                <w:rFonts w:cs="Calibri"/>
                <w:sz w:val="20"/>
                <w:szCs w:val="20"/>
              </w:rPr>
              <w:t>To improve coordination among educators for better support to children's learning.</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65846D4E" w:rsidR="00075FF4" w:rsidRPr="00154B17" w:rsidRDefault="008F7DE3" w:rsidP="008F7DE3">
            <w:pPr>
              <w:pStyle w:val="NormalWeb"/>
              <w:spacing w:before="0" w:beforeAutospacing="0" w:after="0"/>
              <w:rPr>
                <w:rStyle w:val="textexposedshow"/>
                <w:rFonts w:ascii="Calibri" w:hAnsi="Calibri" w:cs="Calibri"/>
                <w:color w:val="1D2129"/>
                <w:sz w:val="20"/>
                <w:szCs w:val="20"/>
              </w:rPr>
            </w:pPr>
            <w:r w:rsidRPr="008F7DE3">
              <w:rPr>
                <w:rStyle w:val="textexposedshow"/>
                <w:rFonts w:ascii="Calibri" w:hAnsi="Calibri" w:cs="Calibri"/>
                <w:color w:val="1D2129"/>
                <w:sz w:val="20"/>
                <w:szCs w:val="20"/>
              </w:rPr>
              <w:t>Schedule regular team meetings.</w:t>
            </w:r>
            <w:r>
              <w:rPr>
                <w:rStyle w:val="textexposedshow"/>
                <w:rFonts w:ascii="Calibri" w:hAnsi="Calibri" w:cs="Calibri"/>
                <w:color w:val="1D2129"/>
                <w:sz w:val="20"/>
                <w:szCs w:val="20"/>
              </w:rPr>
              <w:br/>
            </w:r>
            <w:r w:rsidRPr="008F7DE3">
              <w:rPr>
                <w:rStyle w:val="textexposedshow"/>
                <w:rFonts w:ascii="Calibri" w:hAnsi="Calibri" w:cs="Calibri"/>
                <w:color w:val="1D2129"/>
                <w:sz w:val="20"/>
                <w:szCs w:val="20"/>
              </w:rPr>
              <w:t>Create communication channels for educators.</w:t>
            </w:r>
            <w:r>
              <w:rPr>
                <w:rStyle w:val="textexposedshow"/>
                <w:rFonts w:ascii="Calibri" w:hAnsi="Calibri" w:cs="Calibri"/>
                <w:color w:val="1D2129"/>
                <w:sz w:val="20"/>
                <w:szCs w:val="20"/>
              </w:rPr>
              <w:br/>
            </w:r>
            <w:r w:rsidRPr="008F7DE3">
              <w:rPr>
                <w:rStyle w:val="textexposedshow"/>
                <w:rFonts w:ascii="Calibri" w:hAnsi="Calibri" w:cs="Calibri"/>
                <w:color w:val="1D2129"/>
                <w:sz w:val="20"/>
                <w:szCs w:val="20"/>
              </w:rPr>
              <w:t>Share best practices and resources.</w:t>
            </w:r>
            <w:r>
              <w:rPr>
                <w:rStyle w:val="textexposedshow"/>
                <w:rFonts w:ascii="Calibri" w:hAnsi="Calibri" w:cs="Calibri"/>
                <w:color w:val="1D2129"/>
                <w:sz w:val="20"/>
                <w:szCs w:val="20"/>
              </w:rPr>
              <w:br/>
            </w:r>
            <w:r w:rsidRPr="008F7DE3">
              <w:rPr>
                <w:rStyle w:val="textexposedshow"/>
                <w:rFonts w:ascii="Calibri" w:hAnsi="Calibri" w:cs="Calibri"/>
                <w:color w:val="1D2129"/>
                <w:sz w:val="20"/>
                <w:szCs w:val="20"/>
              </w:rPr>
              <w:t>Encourage collaboration on lesson planning.</w:t>
            </w:r>
          </w:p>
        </w:tc>
        <w:tc>
          <w:tcPr>
            <w:tcW w:w="3402" w:type="dxa"/>
          </w:tcPr>
          <w:p w14:paraId="138D367B" w14:textId="77777777" w:rsidR="00913CE6" w:rsidRDefault="00913CE6" w:rsidP="00913CE6">
            <w:r>
              <w:rPr>
                <w:i/>
              </w:rPr>
              <w:t>The organisation of educators supports children’s learning in the following ways.</w:t>
            </w:r>
          </w:p>
          <w:p w14:paraId="2B6FBF90" w14:textId="77777777" w:rsidR="00913CE6" w:rsidRDefault="00913CE6" w:rsidP="00913CE6">
            <w:pPr>
              <w:numPr>
                <w:ilvl w:val="0"/>
                <w:numId w:val="42"/>
              </w:numPr>
              <w:pBdr>
                <w:top w:val="nil"/>
                <w:left w:val="nil"/>
                <w:bottom w:val="nil"/>
                <w:right w:val="nil"/>
                <w:between w:val="nil"/>
              </w:pBdr>
              <w:spacing w:after="0" w:line="259" w:lineRule="auto"/>
              <w:rPr>
                <w:color w:val="FF0000"/>
              </w:rPr>
            </w:pPr>
            <w:r>
              <w:rPr>
                <w:color w:val="FF0000"/>
              </w:rPr>
              <w:t>We note improved learning activities/outcomes when educators can use their strengths/interests. We consider this when allocating educators to rooms/groups.</w:t>
            </w:r>
          </w:p>
          <w:p w14:paraId="7914B799" w14:textId="77777777" w:rsidR="00913CE6" w:rsidRDefault="00913CE6" w:rsidP="00913CE6">
            <w:pPr>
              <w:numPr>
                <w:ilvl w:val="0"/>
                <w:numId w:val="42"/>
              </w:numPr>
              <w:pBdr>
                <w:top w:val="nil"/>
                <w:left w:val="nil"/>
                <w:bottom w:val="nil"/>
                <w:right w:val="nil"/>
                <w:between w:val="nil"/>
              </w:pBdr>
              <w:spacing w:after="160" w:line="259" w:lineRule="auto"/>
              <w:rPr>
                <w:color w:val="FF0000"/>
              </w:rPr>
            </w:pPr>
            <w:r>
              <w:rPr>
                <w:color w:val="FF0000"/>
              </w:rPr>
              <w:t>We group educators after considering qualifications/experience, that is, an effective mix supports learning and safety.</w:t>
            </w:r>
          </w:p>
          <w:p w14:paraId="297E2E9A" w14:textId="46A06D48" w:rsidR="00075FF4" w:rsidRPr="00105653" w:rsidRDefault="00075FF4" w:rsidP="0057036B"/>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4C7ECEC1" w14:textId="77777777" w:rsidR="0026071E" w:rsidRPr="0026071E" w:rsidRDefault="0026071E" w:rsidP="0026071E">
            <w:pPr>
              <w:pStyle w:val="NormalWeb"/>
              <w:spacing w:before="0" w:beforeAutospacing="0" w:after="0" w:afterAutospacing="0"/>
              <w:rPr>
                <w:sz w:val="22"/>
                <w:szCs w:val="22"/>
              </w:rPr>
            </w:pPr>
            <w:r w:rsidRPr="0026071E">
              <w:rPr>
                <w:rFonts w:ascii="Calibri" w:hAnsi="Calibri" w:cs="Calibri"/>
                <w:color w:val="000000"/>
                <w:sz w:val="18"/>
                <w:szCs w:val="18"/>
              </w:rPr>
              <w:t>Week 36</w:t>
            </w:r>
          </w:p>
          <w:p w14:paraId="5D0BA762" w14:textId="37CEA817" w:rsidR="00075FF4" w:rsidRDefault="0026071E" w:rsidP="0026071E">
            <w:pPr>
              <w:pStyle w:val="NoSpacing"/>
              <w:rPr>
                <w:rFonts w:cs="Calibri"/>
                <w:b/>
                <w:bCs/>
                <w:color w:val="000000"/>
                <w:sz w:val="16"/>
                <w:szCs w:val="16"/>
              </w:rPr>
            </w:pPr>
            <w:r w:rsidRPr="0026071E">
              <w:rPr>
                <w:rFonts w:cs="Calibri"/>
                <w:color w:val="000000"/>
                <w:sz w:val="18"/>
                <w:szCs w:val="18"/>
              </w:rPr>
              <w:t>Date: 13/11/23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0D86F5D4" w:rsidR="00075FF4" w:rsidRPr="00213962" w:rsidRDefault="00075FF4" w:rsidP="00075FF4">
            <w:pPr>
              <w:spacing w:after="240"/>
              <w:rPr>
                <w:rStyle w:val="textexposedshow"/>
                <w:rFonts w:cs="Calibri"/>
                <w:color w:val="1D2129"/>
                <w:sz w:val="21"/>
                <w:szCs w:val="21"/>
              </w:rPr>
            </w:pPr>
          </w:p>
        </w:tc>
        <w:tc>
          <w:tcPr>
            <w:tcW w:w="2268" w:type="dxa"/>
          </w:tcPr>
          <w:p w14:paraId="5B8B847E" w14:textId="7D8C618A" w:rsidR="00075FF4" w:rsidRPr="00213962" w:rsidRDefault="00075FF4" w:rsidP="00075FF4">
            <w:pPr>
              <w:spacing w:after="240"/>
              <w:rPr>
                <w:rStyle w:val="textexposedshow"/>
                <w:rFonts w:cs="Calibri"/>
                <w:iCs/>
                <w:color w:val="1D2129"/>
                <w:sz w:val="20"/>
                <w:szCs w:val="20"/>
              </w:rPr>
            </w:pP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6ADEB9D7" w:rsidR="009B4161" w:rsidRPr="00D04580" w:rsidRDefault="009B4161" w:rsidP="00022373">
            <w:pPr>
              <w:spacing w:after="0"/>
              <w:rPr>
                <w:rStyle w:val="textexposedshow"/>
                <w:rFonts w:cs="Calibri"/>
                <w:color w:val="1D2129"/>
                <w:sz w:val="20"/>
                <w:szCs w:val="20"/>
              </w:rPr>
            </w:pPr>
          </w:p>
        </w:tc>
        <w:tc>
          <w:tcPr>
            <w:tcW w:w="3402" w:type="dxa"/>
          </w:tcPr>
          <w:p w14:paraId="078E9F5E" w14:textId="77777777" w:rsidR="00B07C08" w:rsidRDefault="00B07C08" w:rsidP="00B07C08">
            <w:pPr>
              <w:rPr>
                <w:i/>
              </w:rPr>
            </w:pPr>
            <w:r>
              <w:rPr>
                <w:i/>
              </w:rPr>
              <w:t>The organisation of educators, including relief educators, consistently aligns with the service philosophy, policies and procedures in the following ways. It:</w:t>
            </w:r>
          </w:p>
          <w:p w14:paraId="05847ED7"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ensures all children can participate in activities and experiences</w:t>
            </w:r>
          </w:p>
          <w:p w14:paraId="4702BF98"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promotes children’s safety and wellbeing</w:t>
            </w:r>
          </w:p>
          <w:p w14:paraId="4F7CFA9E"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promotes inclusive practices</w:t>
            </w:r>
          </w:p>
          <w:p w14:paraId="08A7556B"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ensures each child can achieve their potential</w:t>
            </w:r>
          </w:p>
          <w:p w14:paraId="1684B16E"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 xml:space="preserve">values families’ views and </w:t>
            </w:r>
            <w:r>
              <w:rPr>
                <w:color w:val="FF0000"/>
              </w:rPr>
              <w:lastRenderedPageBreak/>
              <w:t>encourages their engagement with service</w:t>
            </w:r>
          </w:p>
          <w:p w14:paraId="7B978E57"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demonstrates respect for/values diversity</w:t>
            </w:r>
          </w:p>
          <w:p w14:paraId="003CA774"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promotes a homely environment</w:t>
            </w:r>
          </w:p>
          <w:p w14:paraId="31F0CCC2" w14:textId="77777777" w:rsidR="00B07C08" w:rsidRDefault="00B07C08" w:rsidP="00B07C08">
            <w:pPr>
              <w:numPr>
                <w:ilvl w:val="0"/>
                <w:numId w:val="41"/>
              </w:numPr>
              <w:pBdr>
                <w:top w:val="nil"/>
                <w:left w:val="nil"/>
                <w:bottom w:val="nil"/>
                <w:right w:val="nil"/>
                <w:between w:val="nil"/>
              </w:pBdr>
              <w:spacing w:after="0" w:line="259" w:lineRule="auto"/>
              <w:rPr>
                <w:color w:val="FF0000"/>
              </w:rPr>
            </w:pPr>
            <w:r>
              <w:rPr>
                <w:color w:val="FF0000"/>
              </w:rPr>
              <w:t>supports continuous improvement.</w:t>
            </w:r>
          </w:p>
          <w:p w14:paraId="7A76C3FA" w14:textId="23197873" w:rsidR="004662DA" w:rsidRPr="006312D2" w:rsidRDefault="004662DA" w:rsidP="006C6894">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092E2421" w14:textId="77777777" w:rsidR="0026071E" w:rsidRPr="0026071E" w:rsidRDefault="0026071E" w:rsidP="0026071E">
            <w:pPr>
              <w:pStyle w:val="NormalWeb"/>
              <w:spacing w:before="0" w:beforeAutospacing="0" w:after="0" w:afterAutospacing="0"/>
              <w:rPr>
                <w:sz w:val="22"/>
                <w:szCs w:val="22"/>
              </w:rPr>
            </w:pPr>
            <w:r w:rsidRPr="0026071E">
              <w:rPr>
                <w:rFonts w:ascii="Calibri" w:hAnsi="Calibri" w:cs="Calibri"/>
                <w:color w:val="000000"/>
                <w:sz w:val="18"/>
                <w:szCs w:val="18"/>
              </w:rPr>
              <w:t>Week 36</w:t>
            </w:r>
          </w:p>
          <w:p w14:paraId="543E98BC" w14:textId="4A2CBFD5" w:rsidR="00371FE4" w:rsidRDefault="0026071E" w:rsidP="0026071E">
            <w:pPr>
              <w:pStyle w:val="NoSpacing"/>
              <w:rPr>
                <w:rFonts w:cs="Calibri"/>
                <w:b/>
                <w:bCs/>
                <w:color w:val="000000"/>
                <w:sz w:val="18"/>
                <w:szCs w:val="18"/>
              </w:rPr>
            </w:pPr>
            <w:r w:rsidRPr="0026071E">
              <w:rPr>
                <w:rFonts w:cs="Calibri"/>
                <w:color w:val="000000"/>
                <w:sz w:val="18"/>
                <w:szCs w:val="18"/>
              </w:rPr>
              <w:t>Date: 13/11/23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4C4D1DA0" w:rsidR="00371FE4" w:rsidRPr="0057302A" w:rsidRDefault="00371FE4" w:rsidP="00371FE4">
            <w:pPr>
              <w:spacing w:after="0" w:line="240" w:lineRule="auto"/>
              <w:rPr>
                <w:rStyle w:val="textexposedshow"/>
                <w:rFonts w:cs="Calibri"/>
                <w:color w:val="1D2129"/>
                <w:sz w:val="20"/>
                <w:szCs w:val="20"/>
              </w:rPr>
            </w:pPr>
          </w:p>
        </w:tc>
        <w:tc>
          <w:tcPr>
            <w:tcW w:w="2268" w:type="dxa"/>
          </w:tcPr>
          <w:p w14:paraId="07830F15" w14:textId="420170B1" w:rsidR="00371FE4" w:rsidRPr="0057302A" w:rsidRDefault="00371FE4" w:rsidP="00371FE4">
            <w:pPr>
              <w:spacing w:after="0" w:line="240" w:lineRule="auto"/>
              <w:rPr>
                <w:rStyle w:val="textexposedshow"/>
                <w:rFonts w:cs="Calibri"/>
                <w:color w:val="1D2129"/>
                <w:sz w:val="20"/>
                <w:szCs w:val="20"/>
              </w:rPr>
            </w:pP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64418E6A" w:rsidR="00371FE4" w:rsidRPr="00D04580" w:rsidRDefault="00371FE4" w:rsidP="002D6F4E">
            <w:pPr>
              <w:spacing w:after="0"/>
              <w:textAlignment w:val="baseline"/>
              <w:rPr>
                <w:rStyle w:val="textexposedshow"/>
                <w:rFonts w:cs="Calibri"/>
                <w:color w:val="1D2129"/>
                <w:sz w:val="20"/>
                <w:szCs w:val="20"/>
              </w:rPr>
            </w:pPr>
          </w:p>
        </w:tc>
        <w:tc>
          <w:tcPr>
            <w:tcW w:w="3402" w:type="dxa"/>
          </w:tcPr>
          <w:p w14:paraId="4FFEF1F0" w14:textId="77777777" w:rsidR="00B359A8" w:rsidRDefault="00B359A8" w:rsidP="00B359A8">
            <w:pPr>
              <w:rPr>
                <w:i/>
              </w:rPr>
            </w:pPr>
            <w:r>
              <w:rPr>
                <w:i/>
              </w:rPr>
              <w:t>We’ve made changes to the organisation of educators to enhance children’s learning outcomes for various reasons, including to:</w:t>
            </w:r>
          </w:p>
          <w:p w14:paraId="02945E08" w14:textId="77777777" w:rsidR="00B359A8" w:rsidRDefault="00B359A8" w:rsidP="00B359A8">
            <w:pPr>
              <w:numPr>
                <w:ilvl w:val="0"/>
                <w:numId w:val="41"/>
              </w:numPr>
              <w:pBdr>
                <w:top w:val="nil"/>
                <w:left w:val="nil"/>
                <w:bottom w:val="nil"/>
                <w:right w:val="nil"/>
                <w:between w:val="nil"/>
              </w:pBdr>
              <w:spacing w:after="0" w:line="259" w:lineRule="auto"/>
              <w:rPr>
                <w:color w:val="FF0000"/>
              </w:rPr>
            </w:pPr>
            <w:r>
              <w:rPr>
                <w:color w:val="FF0000"/>
              </w:rPr>
              <w:t>support continuity of educators</w:t>
            </w:r>
          </w:p>
          <w:p w14:paraId="10E80438" w14:textId="77777777" w:rsidR="00B359A8" w:rsidRDefault="00B359A8" w:rsidP="00B359A8">
            <w:pPr>
              <w:numPr>
                <w:ilvl w:val="0"/>
                <w:numId w:val="41"/>
              </w:numPr>
              <w:pBdr>
                <w:top w:val="nil"/>
                <w:left w:val="nil"/>
                <w:bottom w:val="nil"/>
                <w:right w:val="nil"/>
                <w:between w:val="nil"/>
              </w:pBdr>
              <w:spacing w:after="0" w:line="259" w:lineRule="auto"/>
              <w:rPr>
                <w:color w:val="FF0000"/>
              </w:rPr>
            </w:pPr>
            <w:r>
              <w:rPr>
                <w:color w:val="FF0000"/>
              </w:rPr>
              <w:t>improve the mix of qualifications/experience</w:t>
            </w:r>
          </w:p>
          <w:p w14:paraId="2FF68B60" w14:textId="77777777" w:rsidR="00B359A8" w:rsidRDefault="00B359A8" w:rsidP="00B359A8">
            <w:pPr>
              <w:numPr>
                <w:ilvl w:val="0"/>
                <w:numId w:val="41"/>
              </w:numPr>
              <w:pBdr>
                <w:top w:val="nil"/>
                <w:left w:val="nil"/>
                <w:bottom w:val="nil"/>
                <w:right w:val="nil"/>
                <w:between w:val="nil"/>
              </w:pBdr>
              <w:spacing w:after="0" w:line="259" w:lineRule="auto"/>
              <w:rPr>
                <w:color w:val="FF0000"/>
              </w:rPr>
            </w:pPr>
            <w:r>
              <w:rPr>
                <w:color w:val="FF0000"/>
              </w:rPr>
              <w:t>enable educators to use their strengths/interests</w:t>
            </w:r>
          </w:p>
          <w:p w14:paraId="204DA0BE" w14:textId="77777777" w:rsidR="00B359A8" w:rsidRDefault="00B359A8" w:rsidP="00B359A8">
            <w:pPr>
              <w:numPr>
                <w:ilvl w:val="0"/>
                <w:numId w:val="41"/>
              </w:numPr>
              <w:pBdr>
                <w:top w:val="nil"/>
                <w:left w:val="nil"/>
                <w:bottom w:val="nil"/>
                <w:right w:val="nil"/>
                <w:between w:val="nil"/>
              </w:pBdr>
              <w:spacing w:after="0" w:line="259" w:lineRule="auto"/>
              <w:rPr>
                <w:color w:val="FF0000"/>
              </w:rPr>
            </w:pPr>
            <w:r>
              <w:rPr>
                <w:color w:val="FF0000"/>
              </w:rPr>
              <w:t>support the professional development of educators</w:t>
            </w:r>
          </w:p>
          <w:p w14:paraId="1462511D" w14:textId="77777777" w:rsidR="00B359A8" w:rsidRDefault="00B359A8" w:rsidP="00B359A8">
            <w:pPr>
              <w:numPr>
                <w:ilvl w:val="0"/>
                <w:numId w:val="41"/>
              </w:numPr>
              <w:pBdr>
                <w:top w:val="nil"/>
                <w:left w:val="nil"/>
                <w:bottom w:val="nil"/>
                <w:right w:val="nil"/>
                <w:between w:val="nil"/>
              </w:pBdr>
              <w:spacing w:after="0" w:line="259" w:lineRule="auto"/>
              <w:rPr>
                <w:color w:val="FF0000"/>
              </w:rPr>
            </w:pPr>
            <w:r>
              <w:rPr>
                <w:color w:val="FF0000"/>
              </w:rPr>
              <w:t>improve teamwork and cohesion</w:t>
            </w:r>
          </w:p>
          <w:p w14:paraId="4282EA4D" w14:textId="1EBB596C" w:rsidR="00A5063A" w:rsidRPr="00B359A8" w:rsidRDefault="00B359A8" w:rsidP="00B359A8">
            <w:pPr>
              <w:numPr>
                <w:ilvl w:val="0"/>
                <w:numId w:val="41"/>
              </w:numPr>
              <w:pBdr>
                <w:top w:val="nil"/>
                <w:left w:val="nil"/>
                <w:bottom w:val="nil"/>
                <w:right w:val="nil"/>
                <w:between w:val="nil"/>
              </w:pBdr>
              <w:spacing w:after="0" w:line="259" w:lineRule="auto"/>
              <w:rPr>
                <w:color w:val="FF0000"/>
              </w:rPr>
            </w:pPr>
            <w:r w:rsidRPr="00B359A8">
              <w:rPr>
                <w:color w:val="FF0000"/>
              </w:rPr>
              <w:t>enable familiar educators to work with children.</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392586F9" w14:textId="77777777" w:rsidR="0026071E" w:rsidRPr="0026071E" w:rsidRDefault="0026071E" w:rsidP="0026071E">
            <w:pPr>
              <w:pStyle w:val="NormalWeb"/>
              <w:spacing w:before="0" w:beforeAutospacing="0" w:after="0" w:afterAutospacing="0"/>
              <w:rPr>
                <w:sz w:val="22"/>
                <w:szCs w:val="22"/>
              </w:rPr>
            </w:pPr>
            <w:r w:rsidRPr="0026071E">
              <w:rPr>
                <w:rFonts w:ascii="Calibri" w:hAnsi="Calibri" w:cs="Calibri"/>
                <w:color w:val="000000"/>
                <w:sz w:val="18"/>
                <w:szCs w:val="18"/>
              </w:rPr>
              <w:t>Week 36</w:t>
            </w:r>
          </w:p>
          <w:p w14:paraId="58F53C8E" w14:textId="6FB7C077" w:rsidR="00075FF4" w:rsidRDefault="0026071E" w:rsidP="0026071E">
            <w:pPr>
              <w:pStyle w:val="NoSpacing"/>
              <w:rPr>
                <w:rFonts w:cs="Calibri"/>
                <w:b/>
                <w:bCs/>
                <w:color w:val="000000"/>
                <w:sz w:val="16"/>
                <w:szCs w:val="16"/>
              </w:rPr>
            </w:pPr>
            <w:r w:rsidRPr="0026071E">
              <w:rPr>
                <w:rFonts w:cs="Calibri"/>
                <w:color w:val="000000"/>
                <w:sz w:val="18"/>
                <w:szCs w:val="18"/>
              </w:rPr>
              <w:t>Date: 13/11/23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3D8D4C81" w:rsidR="00075FF4" w:rsidRPr="0057302A" w:rsidRDefault="00075FF4" w:rsidP="00075FF4">
            <w:pPr>
              <w:spacing w:after="0" w:line="240" w:lineRule="auto"/>
              <w:rPr>
                <w:rStyle w:val="textexposedshow"/>
                <w:rFonts w:cs="Calibri"/>
                <w:color w:val="1D2129"/>
                <w:sz w:val="20"/>
                <w:szCs w:val="20"/>
              </w:rPr>
            </w:pPr>
          </w:p>
        </w:tc>
        <w:tc>
          <w:tcPr>
            <w:tcW w:w="2268" w:type="dxa"/>
          </w:tcPr>
          <w:p w14:paraId="1B8BD92E" w14:textId="6264513C" w:rsidR="00075FF4" w:rsidRPr="0057302A" w:rsidRDefault="00075FF4" w:rsidP="00075FF4">
            <w:pPr>
              <w:spacing w:after="0" w:line="240" w:lineRule="auto"/>
              <w:rPr>
                <w:rStyle w:val="textexposedshow"/>
                <w:rFonts w:cs="Calibri"/>
                <w:color w:val="1D2129"/>
                <w:sz w:val="20"/>
                <w:szCs w:val="20"/>
              </w:rPr>
            </w:pP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A45A61D" w14:textId="5C9BDC6E" w:rsidR="00075FF4" w:rsidRPr="00D04580" w:rsidRDefault="00075FF4" w:rsidP="00FA5DB1">
            <w:pPr>
              <w:spacing w:after="0"/>
              <w:rPr>
                <w:rStyle w:val="textexposedshow"/>
                <w:rFonts w:cs="Calibri"/>
                <w:color w:val="1D2129"/>
                <w:sz w:val="20"/>
                <w:szCs w:val="20"/>
              </w:rPr>
            </w:pPr>
          </w:p>
        </w:tc>
        <w:tc>
          <w:tcPr>
            <w:tcW w:w="3402" w:type="dxa"/>
          </w:tcPr>
          <w:p w14:paraId="0A4F9725" w14:textId="77777777" w:rsidR="00EA11C0" w:rsidRDefault="00EA11C0" w:rsidP="00EA11C0">
            <w:pPr>
              <w:rPr>
                <w:i/>
              </w:rPr>
            </w:pPr>
            <w:r>
              <w:rPr>
                <w:i/>
              </w:rPr>
              <w:t>The organisation of educators reflects the unique geographical, cultural, and community context of the service. For example:</w:t>
            </w:r>
          </w:p>
          <w:p w14:paraId="2A660F34" w14:textId="77777777" w:rsidR="00EA11C0" w:rsidRDefault="00EA11C0" w:rsidP="00EA11C0">
            <w:pPr>
              <w:numPr>
                <w:ilvl w:val="0"/>
                <w:numId w:val="43"/>
              </w:numPr>
              <w:pBdr>
                <w:top w:val="nil"/>
                <w:left w:val="nil"/>
                <w:bottom w:val="nil"/>
                <w:right w:val="nil"/>
                <w:between w:val="nil"/>
              </w:pBdr>
              <w:spacing w:after="0" w:line="259" w:lineRule="auto"/>
              <w:rPr>
                <w:color w:val="FF0000"/>
              </w:rPr>
            </w:pPr>
            <w:r>
              <w:rPr>
                <w:color w:val="FF0000"/>
              </w:rPr>
              <w:t>placing educators with particular cultural/language backgrounds with children whose families have the same culture/language</w:t>
            </w:r>
          </w:p>
          <w:p w14:paraId="2862108A" w14:textId="77777777" w:rsidR="00EA11C0" w:rsidRDefault="00EA11C0" w:rsidP="00EA11C0">
            <w:pPr>
              <w:numPr>
                <w:ilvl w:val="0"/>
                <w:numId w:val="43"/>
              </w:numPr>
              <w:pBdr>
                <w:top w:val="nil"/>
                <w:left w:val="nil"/>
                <w:bottom w:val="nil"/>
                <w:right w:val="nil"/>
                <w:between w:val="nil"/>
              </w:pBdr>
              <w:spacing w:after="0" w:line="259" w:lineRule="auto"/>
              <w:rPr>
                <w:color w:val="FF0000"/>
              </w:rPr>
            </w:pPr>
            <w:r>
              <w:rPr>
                <w:color w:val="FF0000"/>
              </w:rPr>
              <w:t xml:space="preserve">fulfilling supervision </w:t>
            </w:r>
            <w:r>
              <w:rPr>
                <w:color w:val="FF0000"/>
              </w:rPr>
              <w:lastRenderedPageBreak/>
              <w:t xml:space="preserve">requirements related to outdoor environmental features in or near the service (ponds, creeks, dams, hills) </w:t>
            </w:r>
          </w:p>
          <w:p w14:paraId="55213F05" w14:textId="77777777" w:rsidR="00EA11C0" w:rsidRDefault="00EA11C0" w:rsidP="00EA11C0">
            <w:pPr>
              <w:numPr>
                <w:ilvl w:val="0"/>
                <w:numId w:val="43"/>
              </w:numPr>
              <w:pBdr>
                <w:top w:val="nil"/>
                <w:left w:val="nil"/>
                <w:bottom w:val="nil"/>
                <w:right w:val="nil"/>
                <w:between w:val="nil"/>
              </w:pBdr>
              <w:spacing w:after="0" w:line="259" w:lineRule="auto"/>
              <w:rPr>
                <w:color w:val="FF0000"/>
              </w:rPr>
            </w:pPr>
            <w:r>
              <w:rPr>
                <w:color w:val="FF0000"/>
              </w:rPr>
              <w:t xml:space="preserve">considering educators’ strengths/interests from a community perspective. Where this is a strong community football program, the service places educators with football skills with active boys/girls. In a farming community, the service organises educators with this background to greet and interact with families. In a community that has fetes, shopping centre displays, and parades, the service places educators with strong creative background with children participating in these events. </w:t>
            </w:r>
          </w:p>
          <w:p w14:paraId="4BC6729F" w14:textId="5376CB66" w:rsidR="00A93BCD" w:rsidRPr="0051497C" w:rsidRDefault="00A93BCD" w:rsidP="00194513">
            <w:pPr>
              <w:pBdr>
                <w:top w:val="nil"/>
                <w:left w:val="nil"/>
                <w:bottom w:val="nil"/>
                <w:right w:val="nil"/>
                <w:between w:val="nil"/>
              </w:pBdr>
              <w:spacing w:after="0" w:line="259" w:lineRule="auto"/>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635F543E"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94513">
        <w:rPr>
          <w:rFonts w:ascii="HelveticaNeue-Thin" w:hAnsi="HelveticaNeue-Thin" w:cs="HelveticaNeue-Thin"/>
          <w:b/>
          <w:bCs/>
          <w:color w:val="010202"/>
        </w:rPr>
        <w:t>4</w:t>
      </w:r>
      <w:r w:rsidR="004144DC">
        <w:rPr>
          <w:rFonts w:ascii="HelveticaNeue-Thin" w:hAnsi="HelveticaNeue-Thin" w:cs="HelveticaNeue-Thin"/>
          <w:b/>
          <w:bCs/>
          <w:color w:val="010202"/>
        </w:rPr>
        <w:t>.</w:t>
      </w:r>
      <w:r w:rsidR="0026071E">
        <w:rPr>
          <w:rFonts w:ascii="HelveticaNeue-Thin" w:hAnsi="HelveticaNeue-Thin" w:cs="HelveticaNeue-Thin"/>
          <w:b/>
          <w:bCs/>
          <w:color w:val="010202"/>
        </w:rPr>
        <w:t>1</w:t>
      </w:r>
      <w:r w:rsidR="009D0F8E">
        <w:rPr>
          <w:rFonts w:ascii="HelveticaNeue-Thin" w:hAnsi="HelveticaNeue-Thin" w:cs="HelveticaNeue-Thin"/>
          <w:b/>
          <w:bCs/>
          <w:color w:val="010202"/>
        </w:rPr>
        <w:t xml:space="preserve"> Staffing Arrangements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6D57463" w:rsidR="00B0081A" w:rsidRDefault="008D4EE1" w:rsidP="00B0081A">
            <w:pPr>
              <w:spacing w:after="0"/>
              <w:jc w:val="both"/>
              <w:rPr>
                <w:rFonts w:cs="Arial"/>
              </w:rPr>
            </w:pPr>
            <w:r w:rsidRPr="00B0081A">
              <w:rPr>
                <w:rFonts w:cs="Arial"/>
              </w:rPr>
              <w:t xml:space="preserve">In the strength example for element </w:t>
            </w:r>
            <w:r w:rsidR="00F67385">
              <w:rPr>
                <w:rFonts w:cs="Arial"/>
              </w:rPr>
              <w:t>4.</w:t>
            </w:r>
            <w:r w:rsidR="0026071E">
              <w:rPr>
                <w:rFonts w:cs="Arial"/>
              </w:rPr>
              <w:t>1.1</w:t>
            </w:r>
            <w:r w:rsidR="00862DE6">
              <w:rPr>
                <w:rFonts w:cs="Arial"/>
              </w:rPr>
              <w:t xml:space="preserve"> </w:t>
            </w:r>
            <w:r w:rsidRPr="00B0081A">
              <w:rPr>
                <w:rFonts w:cs="Arial"/>
              </w:rPr>
              <w:t>we have identified the following exceeding theme indicators:</w:t>
            </w:r>
          </w:p>
          <w:p w14:paraId="4E7DC49D" w14:textId="6504F4C9" w:rsidR="008D4EE1" w:rsidRPr="00E20089" w:rsidRDefault="002F13B7" w:rsidP="00BA0424">
            <w:pPr>
              <w:numPr>
                <w:ilvl w:val="0"/>
                <w:numId w:val="1"/>
              </w:numPr>
              <w:rPr>
                <w:rFonts w:cs="Arial"/>
                <w:iCs/>
              </w:rPr>
            </w:pPr>
            <w:r>
              <w:rPr>
                <w:i/>
              </w:rPr>
              <w:t>The organisation of educators, including relief educators, consistently aligns with the service philosophy, policies and procedures.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0AF61C61" w:rsidR="00A16148" w:rsidRDefault="008D4EE1" w:rsidP="002D52F5">
            <w:pPr>
              <w:spacing w:after="0"/>
            </w:pPr>
            <w:r w:rsidRPr="00B0081A">
              <w:t xml:space="preserve">In the strength example for element </w:t>
            </w:r>
            <w:r w:rsidR="003B5235">
              <w:rPr>
                <w:rFonts w:cs="Arial"/>
              </w:rPr>
              <w:t>4.</w:t>
            </w:r>
            <w:r w:rsidR="0026071E">
              <w:rPr>
                <w:rFonts w:cs="Arial"/>
              </w:rPr>
              <w:t>1.1</w:t>
            </w:r>
            <w:r w:rsidRPr="00B0081A">
              <w:t xml:space="preserve"> we have identified the following exceeding theme indicators:</w:t>
            </w:r>
            <w:r w:rsidR="00A16148" w:rsidRPr="00B0081A">
              <w:t xml:space="preserve"> </w:t>
            </w:r>
          </w:p>
          <w:p w14:paraId="79641D8F" w14:textId="25F46F1B" w:rsidR="00B0081A" w:rsidRPr="00E20089" w:rsidRDefault="00D04421" w:rsidP="00405E26">
            <w:pPr>
              <w:numPr>
                <w:ilvl w:val="0"/>
                <w:numId w:val="1"/>
              </w:numPr>
              <w:spacing w:after="0"/>
              <w:rPr>
                <w:iCs/>
              </w:rPr>
            </w:pPr>
            <w:r>
              <w:rPr>
                <w:i/>
              </w:rPr>
              <w:t>We’ve made changes to the organisation of educators to enhance children’s learning outcomes for various reasons.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0A9F4A2" w:rsidR="00317C21" w:rsidRDefault="008D4EE1" w:rsidP="00B0081A">
            <w:pPr>
              <w:spacing w:after="0"/>
            </w:pPr>
            <w:r w:rsidRPr="00B0081A">
              <w:t xml:space="preserve">In the strength example for element </w:t>
            </w:r>
            <w:r w:rsidR="003B5235">
              <w:rPr>
                <w:rFonts w:cs="Arial"/>
              </w:rPr>
              <w:t>4.</w:t>
            </w:r>
            <w:r w:rsidR="0026071E">
              <w:rPr>
                <w:rFonts w:cs="Arial"/>
              </w:rPr>
              <w:t>1.1</w:t>
            </w:r>
            <w:r w:rsidRPr="00B0081A">
              <w:t xml:space="preserve"> we have identified the following exceeding theme indicators:</w:t>
            </w:r>
          </w:p>
          <w:p w14:paraId="6FF3C3FB" w14:textId="679B0DDE" w:rsidR="00B0081A" w:rsidRPr="006726C0" w:rsidRDefault="00861A2A" w:rsidP="007E14DC">
            <w:pPr>
              <w:numPr>
                <w:ilvl w:val="0"/>
                <w:numId w:val="32"/>
              </w:numPr>
              <w:rPr>
                <w:iCs/>
              </w:rPr>
            </w:pPr>
            <w:r>
              <w:rPr>
                <w:i/>
              </w:rPr>
              <w:t>The organisation of educators reflects the unique geographical, cultural, and community context of the service.</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4A6BF7"/>
    <w:multiLevelType w:val="multilevel"/>
    <w:tmpl w:val="746AA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9559D8"/>
    <w:multiLevelType w:val="multilevel"/>
    <w:tmpl w:val="134A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2"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8C324D2"/>
    <w:multiLevelType w:val="multilevel"/>
    <w:tmpl w:val="995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28"/>
  </w:num>
  <w:num w:numId="2" w16cid:durableId="2047951240">
    <w:abstractNumId w:val="33"/>
  </w:num>
  <w:num w:numId="3" w16cid:durableId="677923796">
    <w:abstractNumId w:val="25"/>
  </w:num>
  <w:num w:numId="4" w16cid:durableId="764031647">
    <w:abstractNumId w:val="31"/>
  </w:num>
  <w:num w:numId="5" w16cid:durableId="941841055">
    <w:abstractNumId w:val="38"/>
  </w:num>
  <w:num w:numId="6" w16cid:durableId="1583756430">
    <w:abstractNumId w:val="17"/>
  </w:num>
  <w:num w:numId="7" w16cid:durableId="1628855747">
    <w:abstractNumId w:val="14"/>
  </w:num>
  <w:num w:numId="8" w16cid:durableId="1581257911">
    <w:abstractNumId w:val="1"/>
  </w:num>
  <w:num w:numId="9" w16cid:durableId="1779835487">
    <w:abstractNumId w:val="2"/>
  </w:num>
  <w:num w:numId="10" w16cid:durableId="920917211">
    <w:abstractNumId w:val="10"/>
  </w:num>
  <w:num w:numId="11" w16cid:durableId="1668485436">
    <w:abstractNumId w:val="29"/>
  </w:num>
  <w:num w:numId="12" w16cid:durableId="181669609">
    <w:abstractNumId w:val="30"/>
  </w:num>
  <w:num w:numId="13" w16cid:durableId="1749885825">
    <w:abstractNumId w:val="37"/>
  </w:num>
  <w:num w:numId="14" w16cid:durableId="276302035">
    <w:abstractNumId w:val="41"/>
  </w:num>
  <w:num w:numId="15" w16cid:durableId="818883266">
    <w:abstractNumId w:val="23"/>
  </w:num>
  <w:num w:numId="16" w16cid:durableId="1715689987">
    <w:abstractNumId w:val="39"/>
  </w:num>
  <w:num w:numId="17" w16cid:durableId="836337608">
    <w:abstractNumId w:val="4"/>
  </w:num>
  <w:num w:numId="18" w16cid:durableId="2104764159">
    <w:abstractNumId w:val="7"/>
  </w:num>
  <w:num w:numId="19" w16cid:durableId="876548312">
    <w:abstractNumId w:val="35"/>
  </w:num>
  <w:num w:numId="20" w16cid:durableId="1603605334">
    <w:abstractNumId w:val="15"/>
  </w:num>
  <w:num w:numId="21" w16cid:durableId="713507571">
    <w:abstractNumId w:val="6"/>
  </w:num>
  <w:num w:numId="22" w16cid:durableId="650211910">
    <w:abstractNumId w:val="24"/>
  </w:num>
  <w:num w:numId="23" w16cid:durableId="1958945801">
    <w:abstractNumId w:val="40"/>
  </w:num>
  <w:num w:numId="24" w16cid:durableId="528756863">
    <w:abstractNumId w:val="5"/>
  </w:num>
  <w:num w:numId="25" w16cid:durableId="455609949">
    <w:abstractNumId w:val="11"/>
  </w:num>
  <w:num w:numId="26" w16cid:durableId="1865484709">
    <w:abstractNumId w:val="13"/>
  </w:num>
  <w:num w:numId="27" w16cid:durableId="537427685">
    <w:abstractNumId w:val="0"/>
  </w:num>
  <w:num w:numId="28" w16cid:durableId="423494888">
    <w:abstractNumId w:val="32"/>
  </w:num>
  <w:num w:numId="29" w16cid:durableId="1675764481">
    <w:abstractNumId w:val="12"/>
  </w:num>
  <w:num w:numId="30" w16cid:durableId="64569135">
    <w:abstractNumId w:val="3"/>
  </w:num>
  <w:num w:numId="31" w16cid:durableId="475535588">
    <w:abstractNumId w:val="36"/>
  </w:num>
  <w:num w:numId="32" w16cid:durableId="782191672">
    <w:abstractNumId w:val="27"/>
  </w:num>
  <w:num w:numId="33" w16cid:durableId="1510679432">
    <w:abstractNumId w:val="22"/>
  </w:num>
  <w:num w:numId="34" w16cid:durableId="1912235038">
    <w:abstractNumId w:val="26"/>
  </w:num>
  <w:num w:numId="35" w16cid:durableId="1226380040">
    <w:abstractNumId w:val="21"/>
  </w:num>
  <w:num w:numId="36" w16cid:durableId="1085570105">
    <w:abstractNumId w:val="18"/>
  </w:num>
  <w:num w:numId="37" w16cid:durableId="151798293">
    <w:abstractNumId w:val="8"/>
  </w:num>
  <w:num w:numId="38" w16cid:durableId="415634888">
    <w:abstractNumId w:val="19"/>
  </w:num>
  <w:num w:numId="39" w16cid:durableId="762577756">
    <w:abstractNumId w:val="16"/>
  </w:num>
  <w:num w:numId="40" w16cid:durableId="1225987413">
    <w:abstractNumId w:val="34"/>
  </w:num>
  <w:num w:numId="41" w16cid:durableId="1118329054">
    <w:abstractNumId w:val="42"/>
  </w:num>
  <w:num w:numId="42" w16cid:durableId="1904020558">
    <w:abstractNumId w:val="9"/>
  </w:num>
  <w:num w:numId="43" w16cid:durableId="188594076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5665"/>
    <w:rsid w:val="00026CB6"/>
    <w:rsid w:val="0003105E"/>
    <w:rsid w:val="00031283"/>
    <w:rsid w:val="0003165A"/>
    <w:rsid w:val="000339A3"/>
    <w:rsid w:val="00035EBC"/>
    <w:rsid w:val="00037A60"/>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160F"/>
    <w:rsid w:val="00112C30"/>
    <w:rsid w:val="00112E42"/>
    <w:rsid w:val="001164FA"/>
    <w:rsid w:val="001217DD"/>
    <w:rsid w:val="00121F13"/>
    <w:rsid w:val="00123DCB"/>
    <w:rsid w:val="00124E4E"/>
    <w:rsid w:val="001251A9"/>
    <w:rsid w:val="001271F8"/>
    <w:rsid w:val="001324D5"/>
    <w:rsid w:val="00133413"/>
    <w:rsid w:val="00141A01"/>
    <w:rsid w:val="00151BDD"/>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45AA"/>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07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E0BB0"/>
    <w:rsid w:val="002E0DE0"/>
    <w:rsid w:val="002E1D13"/>
    <w:rsid w:val="002F13B7"/>
    <w:rsid w:val="002F3B5C"/>
    <w:rsid w:val="002F63CF"/>
    <w:rsid w:val="00300E2B"/>
    <w:rsid w:val="00305799"/>
    <w:rsid w:val="003075EE"/>
    <w:rsid w:val="003135F4"/>
    <w:rsid w:val="0031630F"/>
    <w:rsid w:val="00317C21"/>
    <w:rsid w:val="003213A8"/>
    <w:rsid w:val="003216A2"/>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04D2"/>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33F98"/>
    <w:rsid w:val="0053583E"/>
    <w:rsid w:val="00535AA7"/>
    <w:rsid w:val="0054089A"/>
    <w:rsid w:val="00543B96"/>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21FE5"/>
    <w:rsid w:val="008221C9"/>
    <w:rsid w:val="00825382"/>
    <w:rsid w:val="008258F0"/>
    <w:rsid w:val="00826FA6"/>
    <w:rsid w:val="00827D1F"/>
    <w:rsid w:val="00831266"/>
    <w:rsid w:val="00832EEC"/>
    <w:rsid w:val="00833D2B"/>
    <w:rsid w:val="00836869"/>
    <w:rsid w:val="008400CB"/>
    <w:rsid w:val="00841175"/>
    <w:rsid w:val="0084209F"/>
    <w:rsid w:val="0084420F"/>
    <w:rsid w:val="0085247F"/>
    <w:rsid w:val="00853945"/>
    <w:rsid w:val="00854ADB"/>
    <w:rsid w:val="00854D8A"/>
    <w:rsid w:val="00855049"/>
    <w:rsid w:val="00855926"/>
    <w:rsid w:val="00860572"/>
    <w:rsid w:val="0086083D"/>
    <w:rsid w:val="00861A2A"/>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8F7DE3"/>
    <w:rsid w:val="00900B3F"/>
    <w:rsid w:val="00900DEE"/>
    <w:rsid w:val="00901206"/>
    <w:rsid w:val="009017CC"/>
    <w:rsid w:val="00902F29"/>
    <w:rsid w:val="0090377D"/>
    <w:rsid w:val="009038A0"/>
    <w:rsid w:val="00904450"/>
    <w:rsid w:val="00911663"/>
    <w:rsid w:val="009139AF"/>
    <w:rsid w:val="00913CE6"/>
    <w:rsid w:val="009149D3"/>
    <w:rsid w:val="00914F9D"/>
    <w:rsid w:val="00917C3E"/>
    <w:rsid w:val="009255B0"/>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4D5"/>
    <w:rsid w:val="00993651"/>
    <w:rsid w:val="00993BDE"/>
    <w:rsid w:val="009A05E5"/>
    <w:rsid w:val="009A1A41"/>
    <w:rsid w:val="009A32B5"/>
    <w:rsid w:val="009A4869"/>
    <w:rsid w:val="009A5DBF"/>
    <w:rsid w:val="009B0B22"/>
    <w:rsid w:val="009B4161"/>
    <w:rsid w:val="009B5B52"/>
    <w:rsid w:val="009B5D08"/>
    <w:rsid w:val="009C1149"/>
    <w:rsid w:val="009C16D7"/>
    <w:rsid w:val="009C7131"/>
    <w:rsid w:val="009D0F8E"/>
    <w:rsid w:val="009D1CB0"/>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B1A"/>
    <w:rsid w:val="00A543C3"/>
    <w:rsid w:val="00A543E4"/>
    <w:rsid w:val="00A57645"/>
    <w:rsid w:val="00A64C08"/>
    <w:rsid w:val="00A723A6"/>
    <w:rsid w:val="00A74930"/>
    <w:rsid w:val="00A749BE"/>
    <w:rsid w:val="00A75237"/>
    <w:rsid w:val="00A77060"/>
    <w:rsid w:val="00A77809"/>
    <w:rsid w:val="00A8041D"/>
    <w:rsid w:val="00A80F61"/>
    <w:rsid w:val="00A85FA0"/>
    <w:rsid w:val="00A87C83"/>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07C08"/>
    <w:rsid w:val="00B120A0"/>
    <w:rsid w:val="00B1342E"/>
    <w:rsid w:val="00B148BD"/>
    <w:rsid w:val="00B175DB"/>
    <w:rsid w:val="00B25C52"/>
    <w:rsid w:val="00B27225"/>
    <w:rsid w:val="00B32C03"/>
    <w:rsid w:val="00B33BD6"/>
    <w:rsid w:val="00B346E4"/>
    <w:rsid w:val="00B347E5"/>
    <w:rsid w:val="00B34F39"/>
    <w:rsid w:val="00B359A8"/>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D2C"/>
    <w:rsid w:val="00C773CF"/>
    <w:rsid w:val="00C8413D"/>
    <w:rsid w:val="00C84374"/>
    <w:rsid w:val="00C849DD"/>
    <w:rsid w:val="00C8709F"/>
    <w:rsid w:val="00C872C1"/>
    <w:rsid w:val="00C94DF1"/>
    <w:rsid w:val="00C9694E"/>
    <w:rsid w:val="00CA0721"/>
    <w:rsid w:val="00CA2C1F"/>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77C"/>
    <w:rsid w:val="00CF74C0"/>
    <w:rsid w:val="00D015DC"/>
    <w:rsid w:val="00D01A73"/>
    <w:rsid w:val="00D01C9F"/>
    <w:rsid w:val="00D01CF9"/>
    <w:rsid w:val="00D04421"/>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5060A"/>
    <w:rsid w:val="00E55537"/>
    <w:rsid w:val="00E57888"/>
    <w:rsid w:val="00E57A01"/>
    <w:rsid w:val="00E63125"/>
    <w:rsid w:val="00E7045F"/>
    <w:rsid w:val="00E73ED8"/>
    <w:rsid w:val="00E77664"/>
    <w:rsid w:val="00E825CF"/>
    <w:rsid w:val="00E85CD3"/>
    <w:rsid w:val="00E864AB"/>
    <w:rsid w:val="00E94017"/>
    <w:rsid w:val="00E944A5"/>
    <w:rsid w:val="00E96BD9"/>
    <w:rsid w:val="00E96F57"/>
    <w:rsid w:val="00EA11C0"/>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5AD5"/>
    <w:rsid w:val="00FA5DB1"/>
    <w:rsid w:val="00FA6F8F"/>
    <w:rsid w:val="00FB0097"/>
    <w:rsid w:val="00FB0C7D"/>
    <w:rsid w:val="00FB1FDB"/>
    <w:rsid w:val="00FB5889"/>
    <w:rsid w:val="00FB5BF7"/>
    <w:rsid w:val="00FC2A9A"/>
    <w:rsid w:val="00FC2C06"/>
    <w:rsid w:val="00FC39DC"/>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77751265">
      <w:bodyDiv w:val="1"/>
      <w:marLeft w:val="0"/>
      <w:marRight w:val="0"/>
      <w:marTop w:val="0"/>
      <w:marBottom w:val="0"/>
      <w:divBdr>
        <w:top w:val="none" w:sz="0" w:space="0" w:color="auto"/>
        <w:left w:val="none" w:sz="0" w:space="0" w:color="auto"/>
        <w:bottom w:val="none" w:sz="0" w:space="0" w:color="auto"/>
        <w:right w:val="none" w:sz="0" w:space="0" w:color="auto"/>
      </w:divBdr>
    </w:div>
    <w:div w:id="14142845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2538728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E38DDB8B-2B5C-40E1-B61A-9B2F9CD9C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265</cp:revision>
  <dcterms:created xsi:type="dcterms:W3CDTF">2023-03-23T23:03:00Z</dcterms:created>
  <dcterms:modified xsi:type="dcterms:W3CDTF">2023-11-09T02:41:00Z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