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7E22CDA8"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392441">
        <w:rPr>
          <w:rFonts w:ascii="HelveticaNeue-Thin" w:hAnsi="HelveticaNeue-Thin" w:cs="HelveticaNeue-Thin"/>
          <w:color w:val="010202"/>
          <w:sz w:val="28"/>
          <w:szCs w:val="28"/>
        </w:rPr>
        <w:t>40</w:t>
      </w:r>
      <w:r w:rsidR="009A460D">
        <w:rPr>
          <w:rFonts w:ascii="HelveticaNeue-Thin" w:hAnsi="HelveticaNeue-Thin" w:cs="HelveticaNeue-Thin"/>
          <w:color w:val="010202"/>
          <w:sz w:val="28"/>
          <w:szCs w:val="28"/>
        </w:rPr>
        <w:t>,</w:t>
      </w:r>
      <w:r w:rsidR="004268F1">
        <w:rPr>
          <w:rFonts w:ascii="HelveticaNeue-Thin" w:hAnsi="HelveticaNeue-Thin" w:cs="HelveticaNeue-Thin"/>
          <w:color w:val="010202"/>
          <w:sz w:val="28"/>
          <w:szCs w:val="28"/>
        </w:rPr>
        <w:t xml:space="preserve"> </w:t>
      </w:r>
      <w:r w:rsidR="00392441">
        <w:rPr>
          <w:rFonts w:ascii="HelveticaNeue-Thin" w:hAnsi="HelveticaNeue-Thin" w:cs="HelveticaNeue-Thin"/>
          <w:color w:val="010202"/>
          <w:sz w:val="28"/>
          <w:szCs w:val="28"/>
        </w:rPr>
        <w:t>11</w:t>
      </w:r>
      <w:r w:rsidR="007D75C8">
        <w:rPr>
          <w:rFonts w:ascii="HelveticaNeue-Thin" w:hAnsi="HelveticaNeue-Thin" w:cs="HelveticaNeue-Thin"/>
          <w:color w:val="010202"/>
          <w:sz w:val="28"/>
          <w:szCs w:val="28"/>
        </w:rPr>
        <w:t xml:space="preserve"> to </w:t>
      </w:r>
      <w:r w:rsidR="00392441">
        <w:rPr>
          <w:rFonts w:ascii="HelveticaNeue-Thin" w:hAnsi="HelveticaNeue-Thin" w:cs="HelveticaNeue-Thin"/>
          <w:color w:val="010202"/>
          <w:sz w:val="28"/>
          <w:szCs w:val="28"/>
        </w:rPr>
        <w:t>15</w:t>
      </w:r>
      <w:r w:rsidR="00143BD7">
        <w:rPr>
          <w:rFonts w:ascii="HelveticaNeue-Thin" w:hAnsi="HelveticaNeue-Thin" w:cs="HelveticaNeue-Thin"/>
          <w:color w:val="010202"/>
          <w:sz w:val="28"/>
          <w:szCs w:val="28"/>
        </w:rPr>
        <w:t xml:space="preserve"> December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50A459AA"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143BD7">
              <w:rPr>
                <w:b/>
              </w:rPr>
              <w:t>7.2.</w:t>
            </w:r>
            <w:r w:rsidR="00392441">
              <w:rPr>
                <w:b/>
              </w:rPr>
              <w:t>3</w:t>
            </w:r>
          </w:p>
        </w:tc>
        <w:tc>
          <w:tcPr>
            <w:tcW w:w="13467" w:type="dxa"/>
          </w:tcPr>
          <w:p w14:paraId="0A55E0BC" w14:textId="186C32F4" w:rsidR="00075FF4" w:rsidRPr="0026071E" w:rsidRDefault="0099122B" w:rsidP="0099122B">
            <w:pPr>
              <w:spacing w:after="0"/>
              <w:rPr>
                <w:rFonts w:cs="Calibri"/>
                <w:color w:val="221E1F"/>
              </w:rPr>
            </w:pPr>
            <w:r>
              <w:rPr>
                <w:rFonts w:cs="Calibri"/>
                <w:b/>
                <w:bCs/>
                <w:spacing w:val="-10"/>
                <w:kern w:val="28"/>
                <w:lang w:val="en-US"/>
              </w:rPr>
              <w:t xml:space="preserve">Development of Professionals </w:t>
            </w:r>
            <w:r w:rsidR="006071EE" w:rsidRPr="00EA0C79">
              <w:rPr>
                <w:rFonts w:cs="Calibri"/>
                <w:b/>
                <w:bCs/>
                <w:color w:val="221E1F"/>
                <w:sz w:val="10"/>
                <w:szCs w:val="10"/>
              </w:rPr>
              <w:br/>
            </w:r>
            <w:r w:rsidRPr="0099122B">
              <w:rPr>
                <w:rFonts w:cs="Calibri"/>
                <w:color w:val="221E1F"/>
              </w:rPr>
              <w:t>Educators, co-ordinators and staff members’ performance is regularly evaluated and individual plans are in place to support learning and development.</w:t>
            </w:r>
          </w:p>
        </w:tc>
      </w:tr>
      <w:tr w:rsidR="00533F98" w:rsidRPr="005025C5" w14:paraId="38D4BBA2" w14:textId="77777777" w:rsidTr="006E19B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hemeFill="background1"/>
          </w:tcPr>
          <w:p w14:paraId="4581E817" w14:textId="77777777" w:rsidR="0052014F" w:rsidRPr="00CD7CDA" w:rsidRDefault="00AB2C41" w:rsidP="00086B27">
            <w:pPr>
              <w:spacing w:after="0"/>
            </w:pPr>
            <w:r w:rsidRPr="00D606FF">
              <w:rPr>
                <w:b/>
                <w:bCs/>
                <w:lang w:val="en-US"/>
              </w:rPr>
              <w:t>MEETING</w:t>
            </w:r>
            <w:r w:rsidR="000C1591">
              <w:rPr>
                <w:b/>
                <w:bCs/>
                <w:lang w:val="en-US"/>
              </w:rPr>
              <w:t xml:space="preserve"> - </w:t>
            </w:r>
            <w:r w:rsidR="0052014F" w:rsidRPr="00CD7CDA">
              <w:rPr>
                <w:b/>
                <w:bCs/>
              </w:rPr>
              <w:t>Professional Learning or Training After Performance Review:</w:t>
            </w:r>
            <w:r w:rsidR="0052014F">
              <w:rPr>
                <w:b/>
                <w:bCs/>
              </w:rPr>
              <w:t xml:space="preserve"> </w:t>
            </w:r>
            <w:r w:rsidR="0052014F" w:rsidRPr="00CD7CDA">
              <w:t>After our most recent performance reviews, our team identified a collective need to enhance our communication skills when interacting with parents and caregivers. As a result, we collectively decided to participate in a workshop focused on effective parent-educator communication. This training equipped us with valuable strategies and tools to foster more productive and open dialogues with families, leading to improved partnerships and a more supportive learning environment for the children.</w:t>
            </w:r>
          </w:p>
          <w:p w14:paraId="23B1824A" w14:textId="77777777" w:rsidR="0052014F" w:rsidRPr="00CD7CDA" w:rsidRDefault="0052014F" w:rsidP="00086B27">
            <w:pPr>
              <w:spacing w:after="0"/>
              <w:rPr>
                <w:b/>
                <w:bCs/>
              </w:rPr>
            </w:pPr>
          </w:p>
          <w:p w14:paraId="6BE012BE" w14:textId="77777777" w:rsidR="0052014F" w:rsidRPr="00CD7CDA" w:rsidRDefault="0052014F" w:rsidP="00086B27">
            <w:pPr>
              <w:spacing w:after="0"/>
              <w:rPr>
                <w:b/>
                <w:bCs/>
              </w:rPr>
            </w:pPr>
            <w:r w:rsidRPr="00CD7CDA">
              <w:rPr>
                <w:b/>
                <w:bCs/>
              </w:rPr>
              <w:t>Willingness to Try New Things and Value Feedback:</w:t>
            </w:r>
          </w:p>
          <w:p w14:paraId="0E3BF644" w14:textId="77777777" w:rsidR="0052014F" w:rsidRPr="00CD7CDA" w:rsidRDefault="0052014F" w:rsidP="00086B27">
            <w:pPr>
              <w:spacing w:after="0"/>
            </w:pPr>
            <w:r w:rsidRPr="00CD7CDA">
              <w:t>As a cohesive team of educators, we are always open to trying new approaches to enhance our teaching practices. Recently, we collectively introduced a nature-inspired learning corner in our classroom. While initially uncertain about its impact, we invited feedback and insights from one another and welcomed suggestions from our students' parents. Their valuable input allowed us to refine the space, making it even more engaging for the children and reinforcing our commitment to continuous improvement.</w:t>
            </w:r>
          </w:p>
          <w:p w14:paraId="2D635044" w14:textId="77777777" w:rsidR="0052014F" w:rsidRPr="00CD7CDA" w:rsidRDefault="0052014F" w:rsidP="00086B27">
            <w:pPr>
              <w:spacing w:after="0"/>
              <w:rPr>
                <w:b/>
                <w:bCs/>
              </w:rPr>
            </w:pPr>
          </w:p>
          <w:p w14:paraId="560B1812" w14:textId="77777777" w:rsidR="0052014F" w:rsidRPr="00CD7CDA" w:rsidRDefault="0052014F" w:rsidP="00086B27">
            <w:pPr>
              <w:spacing w:after="0"/>
              <w:rPr>
                <w:b/>
                <w:bCs/>
              </w:rPr>
            </w:pPr>
            <w:r w:rsidRPr="00CD7CDA">
              <w:rPr>
                <w:b/>
                <w:bCs/>
              </w:rPr>
              <w:t>Regular and Meaningful Professional Development:</w:t>
            </w:r>
          </w:p>
          <w:p w14:paraId="02A73C71" w14:textId="10854BE3" w:rsidR="0052014F" w:rsidRPr="00CD7CDA" w:rsidRDefault="0052014F" w:rsidP="00086B27">
            <w:pPr>
              <w:spacing w:after="0"/>
            </w:pPr>
            <w:r w:rsidRPr="00CD7CDA">
              <w:t>At our early childhood education cent</w:t>
            </w:r>
            <w:r w:rsidR="00B51725">
              <w:t>re</w:t>
            </w:r>
            <w:r w:rsidRPr="00CD7CDA">
              <w:t>, we have established a monthly professional development day for the entire staff. During these sessions, we collaboratively explore various topics such as child development, classroom management, and cultural competence. What sets our professional development apart is our collective commitment to active participation. We engage in lively discussions, share personal experiences, and work together to apply newfound knowledge to our daily practices. This regular and interactive approach to professional development ensures that we, as a team of educators, are constantly evolving and adapting to meet the ever-changing needs of our students.</w:t>
            </w:r>
          </w:p>
          <w:p w14:paraId="0478DFC6" w14:textId="64C65C9E" w:rsidR="00B47653" w:rsidRPr="008E256D" w:rsidRDefault="00B47653" w:rsidP="00086B27">
            <w:pPr>
              <w:spacing w:after="0"/>
              <w:rPr>
                <w:sz w:val="28"/>
                <w:szCs w:val="28"/>
              </w:rPr>
            </w:pPr>
          </w:p>
          <w:p w14:paraId="1C1B04EE" w14:textId="54FB7C1A" w:rsidR="00AB2C41" w:rsidRPr="00AB2C41" w:rsidRDefault="00AB2C41" w:rsidP="00086B27">
            <w:pPr>
              <w:spacing w:after="0" w:line="240" w:lineRule="auto"/>
              <w:rPr>
                <w:b/>
                <w:bCs/>
              </w:rPr>
            </w:pPr>
            <w:r w:rsidRPr="00AB2C41">
              <w:rPr>
                <w:b/>
                <w:bCs/>
              </w:rPr>
              <w:t>EXCEEDING</w:t>
            </w:r>
          </w:p>
          <w:p w14:paraId="701E2941" w14:textId="77777777" w:rsidR="006F27CD" w:rsidRDefault="00AB2C41" w:rsidP="00086B27">
            <w:pPr>
              <w:spacing w:after="0"/>
            </w:pPr>
            <w:r w:rsidRPr="006E19B7">
              <w:rPr>
                <w:b/>
                <w:bCs/>
                <w:shd w:val="clear" w:color="auto" w:fill="FFFFFF" w:themeFill="background1"/>
              </w:rPr>
              <w:t>Embedded practice -</w:t>
            </w:r>
            <w:r w:rsidRPr="006E19B7">
              <w:rPr>
                <w:shd w:val="clear" w:color="auto" w:fill="FFFFFF" w:themeFill="background1"/>
              </w:rPr>
              <w:t xml:space="preserve"> </w:t>
            </w:r>
            <w:r w:rsidR="006F27CD" w:rsidRPr="00ED5981">
              <w:t>Our performance review process consistently supports educators and staff to achieve their professional development goals and continually improve practice. For example, our review process is up on the wall for all to see and it's not just an annual review process. It is daily, weekly, and monthly, and the process supports movement of staff into leadership/manager roles, for example, educators to room/group leader roles.</w:t>
            </w:r>
          </w:p>
          <w:p w14:paraId="57159232" w14:textId="4FB25100" w:rsidR="00A87C83" w:rsidRPr="00E27C17" w:rsidRDefault="00A87C83" w:rsidP="00086B27">
            <w:pPr>
              <w:spacing w:after="0"/>
            </w:pPr>
          </w:p>
          <w:p w14:paraId="5FA01D7D" w14:textId="599532BD" w:rsidR="00E85CD3" w:rsidRPr="00E27C17" w:rsidRDefault="00AB2C41" w:rsidP="00086B27">
            <w:pPr>
              <w:spacing w:after="0"/>
            </w:pPr>
            <w:r w:rsidRPr="00D606FF">
              <w:rPr>
                <w:b/>
                <w:bCs/>
                <w:iCs/>
              </w:rPr>
              <w:t>Critical Reflection -</w:t>
            </w:r>
            <w:r w:rsidR="00E1361E">
              <w:rPr>
                <w:b/>
                <w:bCs/>
                <w:iCs/>
              </w:rPr>
              <w:t xml:space="preserve"> </w:t>
            </w:r>
            <w:r w:rsidR="00E1361E" w:rsidRPr="00EE6E5A">
              <w:t>Educators regularly reflect on performance against the NQS, issues identified in the QIP, and teaching/learning goals to ensure high-quality outcomes and continual improvement. For example, our Monday meetings and staff meetings include NQS elements as a theme, and the Ed Leader works with each educator’s teaching and learning program to ensure they are maximising the learning with the children.</w:t>
            </w:r>
          </w:p>
          <w:p w14:paraId="20868CDA" w14:textId="77777777" w:rsidR="00086B27" w:rsidRDefault="00086B27" w:rsidP="00086B27">
            <w:pPr>
              <w:rPr>
                <w:b/>
                <w:bCs/>
                <w:iCs/>
              </w:rPr>
            </w:pPr>
          </w:p>
          <w:p w14:paraId="58F0434F" w14:textId="6028591D" w:rsidR="0026071E" w:rsidRDefault="00AB2C41" w:rsidP="00086B27">
            <w:pPr>
              <w:rPr>
                <w:b/>
                <w:bCs/>
                <w:iCs/>
              </w:rPr>
            </w:pPr>
            <w:r w:rsidRPr="00D606FF">
              <w:rPr>
                <w:b/>
                <w:bCs/>
                <w:iCs/>
              </w:rPr>
              <w:t xml:space="preserve">Families and community </w:t>
            </w:r>
            <w:r w:rsidR="00707D4C">
              <w:rPr>
                <w:b/>
                <w:bCs/>
                <w:iCs/>
              </w:rPr>
              <w:t>–</w:t>
            </w:r>
            <w:r w:rsidR="0011160F">
              <w:rPr>
                <w:b/>
                <w:bCs/>
                <w:iCs/>
              </w:rPr>
              <w:t xml:space="preserve"> </w:t>
            </w:r>
            <w:r w:rsidR="00086B27" w:rsidRPr="00240548">
              <w:t>Community partnerships strengthen professional learning at the service and support continuous quality improvement. This includes partnerships with health professionals such as physiotherapists, OTs, speech therapists, optometrists, dentists, and paediatricians. We work with organisations and community members to implement behaviour plans/learning plans/medical plans. We have strong links with our local community and neighbours to enable excursions, which include our native plants.</w:t>
            </w:r>
          </w:p>
          <w:p w14:paraId="74714799" w14:textId="51482CEC" w:rsidR="00E57A01" w:rsidRPr="00D606FF" w:rsidRDefault="00D606FF" w:rsidP="0026071E">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9122B" w:rsidRPr="005025C5" w14:paraId="71245204" w14:textId="77777777" w:rsidTr="001C210D">
        <w:trPr>
          <w:trHeight w:val="572"/>
        </w:trPr>
        <w:tc>
          <w:tcPr>
            <w:tcW w:w="1917" w:type="dxa"/>
            <w:shd w:val="clear" w:color="auto" w:fill="DAEEF3"/>
          </w:tcPr>
          <w:p w14:paraId="2AB39F68" w14:textId="522958AB" w:rsidR="0099122B" w:rsidRPr="000160DF" w:rsidRDefault="0099122B" w:rsidP="0099122B">
            <w:pPr>
              <w:pStyle w:val="NoSpacing"/>
              <w:rPr>
                <w:b/>
              </w:rPr>
            </w:pPr>
            <w:r>
              <w:rPr>
                <w:b/>
              </w:rPr>
              <w:t>Element 7.2.3</w:t>
            </w:r>
          </w:p>
        </w:tc>
        <w:tc>
          <w:tcPr>
            <w:tcW w:w="13393" w:type="dxa"/>
            <w:shd w:val="clear" w:color="auto" w:fill="FFFFFF"/>
          </w:tcPr>
          <w:p w14:paraId="47F7311F" w14:textId="626C8F8D" w:rsidR="0099122B" w:rsidRPr="00D67E81" w:rsidRDefault="0099122B" w:rsidP="0099122B">
            <w:pPr>
              <w:spacing w:after="0" w:line="240" w:lineRule="auto"/>
            </w:pPr>
            <w:r>
              <w:rPr>
                <w:rFonts w:cs="Calibri"/>
                <w:b/>
                <w:bCs/>
                <w:spacing w:val="-10"/>
                <w:kern w:val="28"/>
                <w:lang w:val="en-US"/>
              </w:rPr>
              <w:t xml:space="preserve">Development of Professionals </w:t>
            </w:r>
            <w:r w:rsidRPr="00EA0C79">
              <w:rPr>
                <w:rFonts w:cs="Calibri"/>
                <w:b/>
                <w:bCs/>
                <w:color w:val="221E1F"/>
                <w:sz w:val="10"/>
                <w:szCs w:val="10"/>
              </w:rPr>
              <w:br/>
            </w:r>
            <w:r w:rsidRPr="0099122B">
              <w:rPr>
                <w:rFonts w:cs="Calibri"/>
                <w:color w:val="221E1F"/>
              </w:rPr>
              <w:t>Educators, co-ordinators and staff members’ performance is regularly evaluated and individual plans are in place to support learning and development.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4087E">
        <w:trPr>
          <w:trHeight w:val="72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C06322" w:rsidRDefault="00D553BE" w:rsidP="007C1F35">
            <w:pPr>
              <w:spacing w:after="0" w:line="240" w:lineRule="auto"/>
              <w:rPr>
                <w:rStyle w:val="Strong"/>
                <w:sz w:val="20"/>
                <w:szCs w:val="20"/>
              </w:rPr>
            </w:pPr>
            <w:r w:rsidRPr="00C06322">
              <w:rPr>
                <w:rStyle w:val="Strong"/>
                <w:sz w:val="20"/>
                <w:szCs w:val="20"/>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6057DFCA" w:rsidR="00075FF4" w:rsidRPr="0026071E" w:rsidRDefault="00B7122C" w:rsidP="00075FF4">
            <w:pPr>
              <w:pStyle w:val="NormalWeb"/>
              <w:spacing w:before="0" w:beforeAutospacing="0" w:after="0" w:afterAutospacing="0"/>
              <w:rPr>
                <w:sz w:val="22"/>
                <w:szCs w:val="22"/>
                <w:lang w:eastAsia="en-AU"/>
              </w:rPr>
            </w:pPr>
            <w:r>
              <w:rPr>
                <w:rFonts w:ascii="Calibri" w:hAnsi="Calibri" w:cs="Calibri"/>
                <w:color w:val="000000"/>
                <w:sz w:val="18"/>
                <w:szCs w:val="18"/>
              </w:rPr>
              <w:t>7.2.</w:t>
            </w:r>
            <w:r w:rsidR="00A32CE3">
              <w:rPr>
                <w:rFonts w:ascii="Calibri" w:hAnsi="Calibri" w:cs="Calibri"/>
                <w:color w:val="000000"/>
                <w:sz w:val="18"/>
                <w:szCs w:val="18"/>
              </w:rPr>
              <w:t>3</w:t>
            </w:r>
          </w:p>
          <w:p w14:paraId="0717B254" w14:textId="3379E93E" w:rsidR="00075FF4" w:rsidRPr="0026071E" w:rsidRDefault="00075FF4" w:rsidP="00075FF4">
            <w:pPr>
              <w:pStyle w:val="NormalWeb"/>
              <w:spacing w:before="0" w:beforeAutospacing="0" w:after="0" w:afterAutospacing="0"/>
              <w:rPr>
                <w:sz w:val="22"/>
                <w:szCs w:val="22"/>
              </w:rPr>
            </w:pPr>
            <w:r w:rsidRPr="0026071E">
              <w:rPr>
                <w:rFonts w:ascii="Calibri" w:hAnsi="Calibri" w:cs="Calibri"/>
                <w:color w:val="000000"/>
                <w:sz w:val="18"/>
                <w:szCs w:val="18"/>
              </w:rPr>
              <w:t>Week</w:t>
            </w:r>
            <w:r w:rsidR="00333320" w:rsidRPr="0026071E">
              <w:rPr>
                <w:rFonts w:ascii="Calibri" w:hAnsi="Calibri" w:cs="Calibri"/>
                <w:color w:val="000000"/>
                <w:sz w:val="18"/>
                <w:szCs w:val="18"/>
              </w:rPr>
              <w:t xml:space="preserve"> </w:t>
            </w:r>
            <w:r w:rsidR="00A32CE3">
              <w:rPr>
                <w:rFonts w:ascii="Calibri" w:hAnsi="Calibri" w:cs="Calibri"/>
                <w:color w:val="000000"/>
                <w:sz w:val="18"/>
                <w:szCs w:val="18"/>
              </w:rPr>
              <w:t>40</w:t>
            </w:r>
          </w:p>
          <w:p w14:paraId="3320FC3C" w14:textId="757755CC" w:rsidR="00075FF4" w:rsidRPr="00740FED" w:rsidRDefault="00075FF4" w:rsidP="00075FF4">
            <w:pPr>
              <w:pStyle w:val="NoSpacing"/>
              <w:rPr>
                <w:sz w:val="18"/>
                <w:szCs w:val="18"/>
              </w:rPr>
            </w:pPr>
            <w:r w:rsidRPr="0026071E">
              <w:rPr>
                <w:rFonts w:cs="Calibri"/>
                <w:color w:val="000000"/>
                <w:sz w:val="18"/>
                <w:szCs w:val="18"/>
              </w:rPr>
              <w:t xml:space="preserve">Date: </w:t>
            </w:r>
            <w:r w:rsidR="00A32CE3">
              <w:rPr>
                <w:rFonts w:cs="Calibri"/>
                <w:color w:val="000000"/>
                <w:sz w:val="18"/>
                <w:szCs w:val="18"/>
              </w:rPr>
              <w:t>11</w:t>
            </w:r>
            <w:r w:rsidR="00FD373C">
              <w:rPr>
                <w:rFonts w:cs="Calibri"/>
                <w:color w:val="000000"/>
                <w:sz w:val="18"/>
                <w:szCs w:val="18"/>
              </w:rPr>
              <w:t>/12</w:t>
            </w:r>
            <w:r w:rsidRPr="0026071E">
              <w:rPr>
                <w:rFonts w:cs="Calibri"/>
                <w:color w:val="000000"/>
                <w:sz w:val="18"/>
                <w:szCs w:val="18"/>
              </w:rPr>
              <w:t>/23</w:t>
            </w:r>
          </w:p>
        </w:tc>
        <w:tc>
          <w:tcPr>
            <w:tcW w:w="1403" w:type="dxa"/>
          </w:tcPr>
          <w:p w14:paraId="13795AB9" w14:textId="542339D8" w:rsidR="00075FF4" w:rsidRPr="0057302A" w:rsidRDefault="00A332F6" w:rsidP="00466395">
            <w:pPr>
              <w:spacing w:after="0" w:line="240" w:lineRule="auto"/>
              <w:rPr>
                <w:rStyle w:val="textexposedshow"/>
                <w:rFonts w:cs="Calibri"/>
                <w:color w:val="1D2129"/>
                <w:sz w:val="20"/>
                <w:szCs w:val="20"/>
              </w:rPr>
            </w:pPr>
            <w:r w:rsidRPr="00A332F6">
              <w:rPr>
                <w:rStyle w:val="textexposedshow"/>
                <w:rFonts w:cs="Calibri"/>
                <w:color w:val="1D2129"/>
                <w:sz w:val="20"/>
                <w:szCs w:val="20"/>
              </w:rPr>
              <w:t>Educators inconsistently assess their own performance using their job description, service philosophy, code of conduct, National Quality Standard (NQS), and relevant laws/regulations.</w:t>
            </w:r>
          </w:p>
        </w:tc>
        <w:tc>
          <w:tcPr>
            <w:tcW w:w="2268" w:type="dxa"/>
          </w:tcPr>
          <w:p w14:paraId="319A2547" w14:textId="36E65A6F" w:rsidR="00A93BCD" w:rsidRPr="00A93BCD" w:rsidRDefault="00EC29AA" w:rsidP="00154B17">
            <w:pPr>
              <w:rPr>
                <w:rFonts w:cs="Calibri"/>
                <w:sz w:val="20"/>
                <w:szCs w:val="20"/>
              </w:rPr>
            </w:pPr>
            <w:r w:rsidRPr="00EC29AA">
              <w:rPr>
                <w:rFonts w:cs="Calibri"/>
                <w:sz w:val="20"/>
                <w:szCs w:val="20"/>
              </w:rPr>
              <w:t>To establish a consistent and effective self-assessment process among educators using their job description, service philosophy, code of conduct, NQS, and relevant laws/regulations.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6942A7F3" w14:textId="0E7288F4" w:rsidR="00EC29AA" w:rsidRPr="00EC29AA" w:rsidRDefault="00EC29AA" w:rsidP="00EC29AA">
            <w:pPr>
              <w:pStyle w:val="NormalWeb"/>
              <w:spacing w:after="0"/>
              <w:rPr>
                <w:rStyle w:val="textexposedshow"/>
                <w:rFonts w:ascii="Calibri" w:hAnsi="Calibri" w:cs="Calibri"/>
                <w:color w:val="1D2129"/>
                <w:sz w:val="20"/>
                <w:szCs w:val="20"/>
              </w:rPr>
            </w:pPr>
            <w:r w:rsidRPr="00EC29AA">
              <w:rPr>
                <w:rStyle w:val="textexposedshow"/>
                <w:rFonts w:ascii="Calibri" w:hAnsi="Calibri" w:cs="Calibri"/>
                <w:color w:val="1D2129"/>
                <w:sz w:val="20"/>
                <w:szCs w:val="20"/>
              </w:rPr>
              <w:t>Training and Awareness:</w:t>
            </w:r>
            <w:r w:rsidR="00D24BDE">
              <w:rPr>
                <w:rStyle w:val="textexposedshow"/>
                <w:rFonts w:ascii="Calibri" w:hAnsi="Calibri" w:cs="Calibri"/>
                <w:color w:val="1D2129"/>
                <w:sz w:val="20"/>
                <w:szCs w:val="20"/>
              </w:rPr>
              <w:t xml:space="preserve"> </w:t>
            </w:r>
            <w:r w:rsidRPr="00EC29AA">
              <w:rPr>
                <w:rStyle w:val="textexposedshow"/>
                <w:rFonts w:ascii="Calibri" w:hAnsi="Calibri" w:cs="Calibri"/>
                <w:color w:val="1D2129"/>
                <w:sz w:val="20"/>
                <w:szCs w:val="20"/>
              </w:rPr>
              <w:t>Conduct training to highlight the importance of self-assessment and align it with job descriptions, service philosophy, code of conduct, NQS, and legal requirements.</w:t>
            </w:r>
          </w:p>
          <w:p w14:paraId="6E15316A" w14:textId="11C406DE" w:rsidR="00EC29AA" w:rsidRPr="00EC29AA" w:rsidRDefault="00EC29AA" w:rsidP="00EC29AA">
            <w:pPr>
              <w:pStyle w:val="NormalWeb"/>
              <w:spacing w:after="0"/>
              <w:rPr>
                <w:rStyle w:val="textexposedshow"/>
                <w:rFonts w:ascii="Calibri" w:hAnsi="Calibri" w:cs="Calibri"/>
                <w:color w:val="1D2129"/>
                <w:sz w:val="20"/>
                <w:szCs w:val="20"/>
              </w:rPr>
            </w:pPr>
            <w:r w:rsidRPr="00EC29AA">
              <w:rPr>
                <w:rStyle w:val="textexposedshow"/>
                <w:rFonts w:ascii="Calibri" w:hAnsi="Calibri" w:cs="Calibri"/>
                <w:color w:val="1D2129"/>
                <w:sz w:val="20"/>
                <w:szCs w:val="20"/>
              </w:rPr>
              <w:t>Clear Guidelines:</w:t>
            </w:r>
            <w:r w:rsidR="00D24BDE">
              <w:rPr>
                <w:rStyle w:val="textexposedshow"/>
                <w:rFonts w:ascii="Calibri" w:hAnsi="Calibri" w:cs="Calibri"/>
                <w:color w:val="1D2129"/>
                <w:sz w:val="20"/>
                <w:szCs w:val="20"/>
              </w:rPr>
              <w:t xml:space="preserve"> </w:t>
            </w:r>
            <w:r w:rsidRPr="00EC29AA">
              <w:rPr>
                <w:rStyle w:val="textexposedshow"/>
                <w:rFonts w:ascii="Calibri" w:hAnsi="Calibri" w:cs="Calibri"/>
                <w:color w:val="1D2129"/>
                <w:sz w:val="20"/>
                <w:szCs w:val="20"/>
              </w:rPr>
              <w:t>Create concise guidelines/checklists for educators to use in self-assessment, including specific criteria from job descriptions and regulations.</w:t>
            </w:r>
          </w:p>
          <w:p w14:paraId="628F9B80" w14:textId="0A61CFB9" w:rsidR="00EC29AA" w:rsidRPr="00EC29AA" w:rsidRDefault="00EC29AA" w:rsidP="00EC29AA">
            <w:pPr>
              <w:pStyle w:val="NormalWeb"/>
              <w:spacing w:after="0"/>
              <w:rPr>
                <w:rStyle w:val="textexposedshow"/>
                <w:rFonts w:ascii="Calibri" w:hAnsi="Calibri" w:cs="Calibri"/>
                <w:color w:val="1D2129"/>
                <w:sz w:val="20"/>
                <w:szCs w:val="20"/>
              </w:rPr>
            </w:pPr>
            <w:r w:rsidRPr="00EC29AA">
              <w:rPr>
                <w:rStyle w:val="textexposedshow"/>
                <w:rFonts w:ascii="Calibri" w:hAnsi="Calibri" w:cs="Calibri"/>
                <w:color w:val="1D2129"/>
                <w:sz w:val="20"/>
                <w:szCs w:val="20"/>
              </w:rPr>
              <w:t>Regular Reminders:</w:t>
            </w:r>
            <w:r w:rsidR="00D24BDE">
              <w:rPr>
                <w:rStyle w:val="textexposedshow"/>
                <w:rFonts w:ascii="Calibri" w:hAnsi="Calibri" w:cs="Calibri"/>
                <w:color w:val="1D2129"/>
                <w:sz w:val="20"/>
                <w:szCs w:val="20"/>
              </w:rPr>
              <w:t xml:space="preserve"> </w:t>
            </w:r>
            <w:r w:rsidRPr="00EC29AA">
              <w:rPr>
                <w:rStyle w:val="textexposedshow"/>
                <w:rFonts w:ascii="Calibri" w:hAnsi="Calibri" w:cs="Calibri"/>
                <w:color w:val="1D2129"/>
                <w:sz w:val="20"/>
                <w:szCs w:val="20"/>
              </w:rPr>
              <w:t xml:space="preserve">Set up periodic </w:t>
            </w:r>
            <w:r w:rsidRPr="00EC29AA">
              <w:rPr>
                <w:rStyle w:val="textexposedshow"/>
                <w:rFonts w:ascii="Calibri" w:hAnsi="Calibri" w:cs="Calibri"/>
                <w:color w:val="1D2129"/>
                <w:sz w:val="20"/>
                <w:szCs w:val="20"/>
              </w:rPr>
              <w:lastRenderedPageBreak/>
              <w:t>reminders for educators to perform self-assessments, e.g., quarterly or bi-annual check-ins.</w:t>
            </w:r>
          </w:p>
          <w:p w14:paraId="1237AC8B" w14:textId="7A4348F4" w:rsidR="00EC29AA" w:rsidRPr="00EC29AA" w:rsidRDefault="00EC29AA" w:rsidP="00EC29AA">
            <w:pPr>
              <w:pStyle w:val="NormalWeb"/>
              <w:spacing w:after="0"/>
              <w:rPr>
                <w:rStyle w:val="textexposedshow"/>
                <w:rFonts w:ascii="Calibri" w:hAnsi="Calibri" w:cs="Calibri"/>
                <w:color w:val="1D2129"/>
                <w:sz w:val="20"/>
                <w:szCs w:val="20"/>
              </w:rPr>
            </w:pPr>
            <w:r w:rsidRPr="00EC29AA">
              <w:rPr>
                <w:rStyle w:val="textexposedshow"/>
                <w:rFonts w:ascii="Calibri" w:hAnsi="Calibri" w:cs="Calibri"/>
                <w:color w:val="1D2129"/>
                <w:sz w:val="20"/>
                <w:szCs w:val="20"/>
              </w:rPr>
              <w:t>Peer Support:</w:t>
            </w:r>
            <w:r w:rsidR="00D24BDE">
              <w:rPr>
                <w:rStyle w:val="textexposedshow"/>
                <w:rFonts w:ascii="Calibri" w:hAnsi="Calibri" w:cs="Calibri"/>
                <w:color w:val="1D2129"/>
                <w:sz w:val="20"/>
                <w:szCs w:val="20"/>
              </w:rPr>
              <w:t xml:space="preserve"> </w:t>
            </w:r>
            <w:r w:rsidRPr="00EC29AA">
              <w:rPr>
                <w:rStyle w:val="textexposedshow"/>
                <w:rFonts w:ascii="Calibri" w:hAnsi="Calibri" w:cs="Calibri"/>
                <w:color w:val="1D2129"/>
                <w:sz w:val="20"/>
                <w:szCs w:val="20"/>
              </w:rPr>
              <w:t>Encourage peer support and feedback sessions for educators to discuss self-assessment findings with colleagues.</w:t>
            </w:r>
          </w:p>
          <w:p w14:paraId="6305A222" w14:textId="36DF5AD1" w:rsidR="00EC29AA" w:rsidRPr="00EC29AA" w:rsidRDefault="00EC29AA" w:rsidP="00EC29AA">
            <w:pPr>
              <w:pStyle w:val="NormalWeb"/>
              <w:spacing w:after="0"/>
              <w:rPr>
                <w:rStyle w:val="textexposedshow"/>
                <w:rFonts w:ascii="Calibri" w:hAnsi="Calibri" w:cs="Calibri"/>
                <w:color w:val="1D2129"/>
                <w:sz w:val="20"/>
                <w:szCs w:val="20"/>
              </w:rPr>
            </w:pPr>
            <w:r w:rsidRPr="00EC29AA">
              <w:rPr>
                <w:rStyle w:val="textexposedshow"/>
                <w:rFonts w:ascii="Calibri" w:hAnsi="Calibri" w:cs="Calibri"/>
                <w:color w:val="1D2129"/>
                <w:sz w:val="20"/>
                <w:szCs w:val="20"/>
              </w:rPr>
              <w:t>Documentation:</w:t>
            </w:r>
            <w:r w:rsidR="00D24BDE">
              <w:rPr>
                <w:rStyle w:val="textexposedshow"/>
                <w:rFonts w:ascii="Calibri" w:hAnsi="Calibri" w:cs="Calibri"/>
                <w:color w:val="1D2129"/>
                <w:sz w:val="20"/>
                <w:szCs w:val="20"/>
              </w:rPr>
              <w:t xml:space="preserve"> </w:t>
            </w:r>
            <w:r w:rsidRPr="00EC29AA">
              <w:rPr>
                <w:rStyle w:val="textexposedshow"/>
                <w:rFonts w:ascii="Calibri" w:hAnsi="Calibri" w:cs="Calibri"/>
                <w:color w:val="1D2129"/>
                <w:sz w:val="20"/>
                <w:szCs w:val="20"/>
              </w:rPr>
              <w:t>Ensure educators document self-assessment findings and improvement action plans.</w:t>
            </w:r>
          </w:p>
          <w:p w14:paraId="56A11EDD" w14:textId="65214EBE" w:rsidR="00075FF4" w:rsidRPr="00154B17" w:rsidRDefault="00EC29AA" w:rsidP="00D24BDE">
            <w:pPr>
              <w:pStyle w:val="NormalWeb"/>
              <w:spacing w:after="0"/>
              <w:rPr>
                <w:rStyle w:val="textexposedshow"/>
                <w:rFonts w:ascii="Calibri" w:hAnsi="Calibri" w:cs="Calibri"/>
                <w:color w:val="1D2129"/>
                <w:sz w:val="20"/>
                <w:szCs w:val="20"/>
              </w:rPr>
            </w:pPr>
            <w:r w:rsidRPr="00EC29AA">
              <w:rPr>
                <w:rStyle w:val="textexposedshow"/>
                <w:rFonts w:ascii="Calibri" w:hAnsi="Calibri" w:cs="Calibri"/>
                <w:color w:val="1D2129"/>
                <w:sz w:val="20"/>
                <w:szCs w:val="20"/>
              </w:rPr>
              <w:t>Supervision and Feedback:</w:t>
            </w:r>
            <w:r w:rsidR="00D24BDE">
              <w:rPr>
                <w:rStyle w:val="textexposedshow"/>
                <w:rFonts w:ascii="Calibri" w:hAnsi="Calibri" w:cs="Calibri"/>
                <w:color w:val="1D2129"/>
                <w:sz w:val="20"/>
                <w:szCs w:val="20"/>
              </w:rPr>
              <w:t xml:space="preserve"> </w:t>
            </w:r>
            <w:r w:rsidRPr="00EC29AA">
              <w:rPr>
                <w:rStyle w:val="textexposedshow"/>
                <w:rFonts w:ascii="Calibri" w:hAnsi="Calibri" w:cs="Calibri"/>
                <w:color w:val="1D2129"/>
                <w:sz w:val="20"/>
                <w:szCs w:val="20"/>
              </w:rPr>
              <w:t>Have supervisors review educators' self-assessment documentation during performance reviews, offering constructive feedback.</w:t>
            </w:r>
          </w:p>
        </w:tc>
        <w:tc>
          <w:tcPr>
            <w:tcW w:w="3402" w:type="dxa"/>
          </w:tcPr>
          <w:p w14:paraId="0A020E17" w14:textId="77777777" w:rsidR="00C06322" w:rsidRPr="00C06322" w:rsidRDefault="00C06322" w:rsidP="00C06322">
            <w:pPr>
              <w:rPr>
                <w:sz w:val="20"/>
                <w:szCs w:val="20"/>
              </w:rPr>
            </w:pPr>
            <w:r w:rsidRPr="00C06322">
              <w:rPr>
                <w:i/>
                <w:sz w:val="20"/>
                <w:szCs w:val="20"/>
              </w:rPr>
              <w:lastRenderedPageBreak/>
              <w:t xml:space="preserve">Educators regularly assess their own performance using their job description, service philosophy, code of conduct, NQS, law/regs. </w:t>
            </w:r>
          </w:p>
          <w:p w14:paraId="0BE343A1" w14:textId="77777777" w:rsidR="00C06322" w:rsidRPr="00C06322" w:rsidRDefault="00C06322" w:rsidP="002C7CD7">
            <w:pPr>
              <w:numPr>
                <w:ilvl w:val="0"/>
                <w:numId w:val="6"/>
              </w:numPr>
              <w:pBdr>
                <w:top w:val="nil"/>
                <w:left w:val="nil"/>
                <w:bottom w:val="nil"/>
                <w:right w:val="nil"/>
                <w:between w:val="nil"/>
              </w:pBdr>
              <w:spacing w:after="0" w:line="259" w:lineRule="auto"/>
              <w:rPr>
                <w:color w:val="FF0000"/>
                <w:sz w:val="20"/>
                <w:szCs w:val="20"/>
              </w:rPr>
            </w:pPr>
            <w:r w:rsidRPr="00C06322">
              <w:rPr>
                <w:color w:val="FF0000"/>
                <w:sz w:val="20"/>
                <w:szCs w:val="20"/>
              </w:rPr>
              <w:t>The EL uses these documents when working with educators.</w:t>
            </w:r>
          </w:p>
          <w:p w14:paraId="28A61E9A" w14:textId="77777777" w:rsidR="00C06322" w:rsidRPr="00C06322" w:rsidRDefault="00C06322" w:rsidP="002C7CD7">
            <w:pPr>
              <w:numPr>
                <w:ilvl w:val="0"/>
                <w:numId w:val="6"/>
              </w:numPr>
              <w:pBdr>
                <w:top w:val="nil"/>
                <w:left w:val="nil"/>
                <w:bottom w:val="nil"/>
                <w:right w:val="nil"/>
                <w:between w:val="nil"/>
              </w:pBdr>
              <w:spacing w:after="0" w:line="259" w:lineRule="auto"/>
              <w:rPr>
                <w:color w:val="FF0000"/>
                <w:sz w:val="20"/>
                <w:szCs w:val="20"/>
              </w:rPr>
            </w:pPr>
            <w:r w:rsidRPr="00C06322">
              <w:rPr>
                <w:color w:val="FF0000"/>
                <w:sz w:val="20"/>
                <w:szCs w:val="20"/>
              </w:rPr>
              <w:t>Job description – meeting all requirements? If educators say “that’s not my job” is it in the job description?</w:t>
            </w:r>
          </w:p>
          <w:p w14:paraId="07F0CCBF" w14:textId="77777777" w:rsidR="00C06322" w:rsidRPr="00C06322" w:rsidRDefault="00C06322" w:rsidP="002C7CD7">
            <w:pPr>
              <w:numPr>
                <w:ilvl w:val="0"/>
                <w:numId w:val="6"/>
              </w:numPr>
              <w:pBdr>
                <w:top w:val="nil"/>
                <w:left w:val="nil"/>
                <w:bottom w:val="nil"/>
                <w:right w:val="nil"/>
                <w:between w:val="nil"/>
              </w:pBdr>
              <w:spacing w:after="0" w:line="259" w:lineRule="auto"/>
              <w:rPr>
                <w:color w:val="FF0000"/>
                <w:sz w:val="20"/>
                <w:szCs w:val="20"/>
              </w:rPr>
            </w:pPr>
            <w:r w:rsidRPr="00C06322">
              <w:rPr>
                <w:color w:val="FF0000"/>
                <w:sz w:val="20"/>
                <w:szCs w:val="20"/>
              </w:rPr>
              <w:t>Philosophy – do educators’ practices reflect the values (relationships with families, inclusion, safe environment)?</w:t>
            </w:r>
          </w:p>
          <w:p w14:paraId="3BEB63D9" w14:textId="77777777" w:rsidR="00C06322" w:rsidRPr="00C06322" w:rsidRDefault="00C06322" w:rsidP="002C7CD7">
            <w:pPr>
              <w:numPr>
                <w:ilvl w:val="0"/>
                <w:numId w:val="6"/>
              </w:numPr>
              <w:pBdr>
                <w:top w:val="nil"/>
                <w:left w:val="nil"/>
                <w:bottom w:val="nil"/>
                <w:right w:val="nil"/>
                <w:between w:val="nil"/>
              </w:pBdr>
              <w:spacing w:after="0" w:line="259" w:lineRule="auto"/>
              <w:rPr>
                <w:color w:val="FF0000"/>
                <w:sz w:val="20"/>
                <w:szCs w:val="20"/>
              </w:rPr>
            </w:pPr>
            <w:r w:rsidRPr="00C06322">
              <w:rPr>
                <w:color w:val="FF0000"/>
                <w:sz w:val="20"/>
                <w:szCs w:val="20"/>
              </w:rPr>
              <w:t>Code of Conduct – is there a breach (are educators gossiping, sharing private information, harassing team members)?</w:t>
            </w:r>
          </w:p>
          <w:p w14:paraId="75639E52" w14:textId="77777777" w:rsidR="00C06322" w:rsidRPr="00C06322" w:rsidRDefault="00C06322" w:rsidP="002C7CD7">
            <w:pPr>
              <w:numPr>
                <w:ilvl w:val="0"/>
                <w:numId w:val="6"/>
              </w:numPr>
              <w:pBdr>
                <w:top w:val="nil"/>
                <w:left w:val="nil"/>
                <w:bottom w:val="nil"/>
                <w:right w:val="nil"/>
                <w:between w:val="nil"/>
              </w:pBdr>
              <w:spacing w:after="0" w:line="259" w:lineRule="auto"/>
              <w:rPr>
                <w:color w:val="FF0000"/>
                <w:sz w:val="20"/>
                <w:szCs w:val="20"/>
              </w:rPr>
            </w:pPr>
            <w:r w:rsidRPr="00C06322">
              <w:rPr>
                <w:color w:val="FF0000"/>
                <w:sz w:val="20"/>
                <w:szCs w:val="20"/>
              </w:rPr>
              <w:t>NQS – are educators meeting/exceeding the NQS?</w:t>
            </w:r>
          </w:p>
          <w:p w14:paraId="297E2E9A" w14:textId="0982AE41" w:rsidR="00075FF4" w:rsidRPr="00C06322" w:rsidRDefault="00C06322" w:rsidP="002C7CD7">
            <w:pPr>
              <w:numPr>
                <w:ilvl w:val="0"/>
                <w:numId w:val="6"/>
              </w:numPr>
              <w:pBdr>
                <w:top w:val="nil"/>
                <w:left w:val="nil"/>
                <w:bottom w:val="nil"/>
                <w:right w:val="nil"/>
                <w:between w:val="nil"/>
              </w:pBdr>
              <w:spacing w:after="0" w:line="259" w:lineRule="auto"/>
              <w:rPr>
                <w:color w:val="FF0000"/>
                <w:sz w:val="20"/>
                <w:szCs w:val="20"/>
              </w:rPr>
            </w:pPr>
            <w:r w:rsidRPr="00C06322">
              <w:rPr>
                <w:color w:val="FF0000"/>
                <w:sz w:val="20"/>
                <w:szCs w:val="20"/>
              </w:rPr>
              <w:t>Law/regs – is there a compliance issue?</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322335" w:rsidRPr="0077080D" w14:paraId="5739B4BC" w14:textId="77777777" w:rsidTr="00D44605">
        <w:tc>
          <w:tcPr>
            <w:tcW w:w="973" w:type="dxa"/>
          </w:tcPr>
          <w:p w14:paraId="3E84EFCE" w14:textId="77777777" w:rsidR="00A32CE3" w:rsidRPr="0026071E" w:rsidRDefault="00A32CE3" w:rsidP="00A32CE3">
            <w:pPr>
              <w:pStyle w:val="NormalWeb"/>
              <w:spacing w:before="0" w:beforeAutospacing="0" w:after="0" w:afterAutospacing="0"/>
              <w:rPr>
                <w:sz w:val="22"/>
                <w:szCs w:val="22"/>
                <w:lang w:eastAsia="en-AU"/>
              </w:rPr>
            </w:pPr>
            <w:r>
              <w:rPr>
                <w:rFonts w:ascii="Calibri" w:hAnsi="Calibri" w:cs="Calibri"/>
                <w:color w:val="000000"/>
                <w:sz w:val="18"/>
                <w:szCs w:val="18"/>
              </w:rPr>
              <w:t>7.2.3</w:t>
            </w:r>
          </w:p>
          <w:p w14:paraId="0CF08B9A" w14:textId="77777777" w:rsidR="00A32CE3" w:rsidRPr="0026071E" w:rsidRDefault="00A32CE3" w:rsidP="00A32CE3">
            <w:pPr>
              <w:pStyle w:val="NormalWeb"/>
              <w:spacing w:before="0" w:beforeAutospacing="0" w:after="0" w:afterAutospacing="0"/>
              <w:rPr>
                <w:sz w:val="22"/>
                <w:szCs w:val="22"/>
              </w:rPr>
            </w:pPr>
            <w:r w:rsidRPr="0026071E">
              <w:rPr>
                <w:rFonts w:ascii="Calibri" w:hAnsi="Calibri" w:cs="Calibri"/>
                <w:color w:val="000000"/>
                <w:sz w:val="18"/>
                <w:szCs w:val="18"/>
              </w:rPr>
              <w:t xml:space="preserve">Week </w:t>
            </w:r>
            <w:r>
              <w:rPr>
                <w:rFonts w:ascii="Calibri" w:hAnsi="Calibri" w:cs="Calibri"/>
                <w:color w:val="000000"/>
                <w:sz w:val="18"/>
                <w:szCs w:val="18"/>
              </w:rPr>
              <w:t>40</w:t>
            </w:r>
          </w:p>
          <w:p w14:paraId="5D0BA762" w14:textId="03285DA7" w:rsidR="00322335" w:rsidRDefault="00A32CE3" w:rsidP="00A32CE3">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11/12</w:t>
            </w:r>
            <w:r w:rsidRPr="0026071E">
              <w:rPr>
                <w:rFonts w:cs="Calibri"/>
                <w:color w:val="000000"/>
                <w:sz w:val="18"/>
                <w:szCs w:val="18"/>
              </w:rPr>
              <w:t>/23</w:t>
            </w:r>
            <w:r w:rsidR="00322335">
              <w:rPr>
                <w:rFonts w:cs="Calibri"/>
                <w:color w:val="000000"/>
                <w:sz w:val="20"/>
                <w:szCs w:val="20"/>
              </w:rPr>
              <w:br/>
            </w:r>
            <w:r w:rsidR="00322335" w:rsidRPr="00075FF4">
              <w:rPr>
                <w:rFonts w:cs="Calibri"/>
                <w:b/>
                <w:bCs/>
                <w:color w:val="000000"/>
                <w:sz w:val="16"/>
                <w:szCs w:val="16"/>
              </w:rPr>
              <w:t xml:space="preserve">Exceeding </w:t>
            </w:r>
            <w:r w:rsidR="00322335" w:rsidRPr="00075FF4">
              <w:rPr>
                <w:rFonts w:cs="Calibri"/>
                <w:b/>
                <w:bCs/>
                <w:color w:val="000000"/>
                <w:sz w:val="16"/>
                <w:szCs w:val="16"/>
              </w:rPr>
              <w:br/>
              <w:t>Embedded </w:t>
            </w:r>
          </w:p>
          <w:p w14:paraId="23213528" w14:textId="5DE40FCF" w:rsidR="00322335" w:rsidRDefault="00322335" w:rsidP="00322335">
            <w:pPr>
              <w:pStyle w:val="NoSpacing"/>
              <w:rPr>
                <w:rFonts w:cs="HelveticaNeue-Light-Light"/>
                <w:sz w:val="18"/>
                <w:szCs w:val="18"/>
                <w:lang w:eastAsia="en-AU"/>
              </w:rPr>
            </w:pPr>
          </w:p>
        </w:tc>
        <w:tc>
          <w:tcPr>
            <w:tcW w:w="1403" w:type="dxa"/>
          </w:tcPr>
          <w:p w14:paraId="4C00F388" w14:textId="617B997E" w:rsidR="00322335" w:rsidRPr="00213962" w:rsidRDefault="00006758" w:rsidP="00D44605">
            <w:pPr>
              <w:spacing w:after="240"/>
              <w:rPr>
                <w:rStyle w:val="textexposedshow"/>
                <w:rFonts w:cs="Calibri"/>
                <w:color w:val="1D2129"/>
                <w:sz w:val="21"/>
                <w:szCs w:val="21"/>
              </w:rPr>
            </w:pPr>
            <w:r w:rsidRPr="00006758">
              <w:rPr>
                <w:rStyle w:val="textexposedshow"/>
                <w:rFonts w:cs="Calibri"/>
                <w:color w:val="1D2129"/>
                <w:sz w:val="21"/>
                <w:szCs w:val="21"/>
              </w:rPr>
              <w:t xml:space="preserve">Performance review process needs improvement in consistently supporting educators and staff to </w:t>
            </w:r>
            <w:r w:rsidRPr="00006758">
              <w:rPr>
                <w:rStyle w:val="textexposedshow"/>
                <w:rFonts w:cs="Calibri"/>
                <w:color w:val="1D2129"/>
                <w:sz w:val="21"/>
                <w:szCs w:val="21"/>
              </w:rPr>
              <w:lastRenderedPageBreak/>
              <w:t>achieve professional development goals and practice improvement.</w:t>
            </w:r>
          </w:p>
        </w:tc>
        <w:tc>
          <w:tcPr>
            <w:tcW w:w="2268" w:type="dxa"/>
          </w:tcPr>
          <w:p w14:paraId="5B8B847E" w14:textId="6426B7DD" w:rsidR="00322335" w:rsidRPr="00213962" w:rsidRDefault="00006758" w:rsidP="00D44605">
            <w:pPr>
              <w:spacing w:after="240"/>
              <w:rPr>
                <w:rStyle w:val="textexposedshow"/>
                <w:rFonts w:cs="Calibri"/>
                <w:iCs/>
                <w:color w:val="1D2129"/>
                <w:sz w:val="20"/>
                <w:szCs w:val="20"/>
              </w:rPr>
            </w:pPr>
            <w:r w:rsidRPr="00006758">
              <w:rPr>
                <w:rStyle w:val="textexposedshow"/>
                <w:rFonts w:cs="Calibri"/>
                <w:iCs/>
                <w:color w:val="1D2129"/>
                <w:sz w:val="20"/>
                <w:szCs w:val="20"/>
              </w:rPr>
              <w:lastRenderedPageBreak/>
              <w:t>Establish a performance review process that consistently supports educators and staff in achieving professional development goals and continuous practice improvement.</w:t>
            </w:r>
          </w:p>
        </w:tc>
        <w:tc>
          <w:tcPr>
            <w:tcW w:w="851" w:type="dxa"/>
          </w:tcPr>
          <w:p w14:paraId="1266B8AF" w14:textId="77777777" w:rsidR="00322335" w:rsidRPr="0057302A" w:rsidRDefault="00322335" w:rsidP="00322335">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6190864"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Align performance review guidelines with development goals and practice improvement.</w:t>
            </w:r>
          </w:p>
          <w:p w14:paraId="7963C488"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Regular Check-Ins:</w:t>
            </w:r>
          </w:p>
          <w:p w14:paraId="03779E4E" w14:textId="77777777" w:rsidR="00AF0B00" w:rsidRPr="00AF0B00" w:rsidRDefault="00AF0B00" w:rsidP="00AF0B00">
            <w:pPr>
              <w:spacing w:after="0"/>
              <w:rPr>
                <w:rStyle w:val="textexposedshow"/>
                <w:rFonts w:cs="Calibri"/>
                <w:color w:val="1D2129"/>
                <w:sz w:val="20"/>
                <w:szCs w:val="20"/>
              </w:rPr>
            </w:pPr>
          </w:p>
          <w:p w14:paraId="1F00C46B"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 xml:space="preserve">Hold periodic check-in meetings for educators and </w:t>
            </w:r>
            <w:r w:rsidRPr="00AF0B00">
              <w:rPr>
                <w:rStyle w:val="textexposedshow"/>
                <w:rFonts w:cs="Calibri"/>
                <w:color w:val="1D2129"/>
                <w:sz w:val="20"/>
                <w:szCs w:val="20"/>
              </w:rPr>
              <w:lastRenderedPageBreak/>
              <w:t>supervisors to review progress and adjust development plans.</w:t>
            </w:r>
          </w:p>
          <w:p w14:paraId="7B7C0B8B"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Resource Allocation:</w:t>
            </w:r>
          </w:p>
          <w:p w14:paraId="60D3C90F" w14:textId="77777777" w:rsidR="00AF0B00" w:rsidRPr="00AF0B00" w:rsidRDefault="00AF0B00" w:rsidP="00AF0B00">
            <w:pPr>
              <w:spacing w:after="0"/>
              <w:rPr>
                <w:rStyle w:val="textexposedshow"/>
                <w:rFonts w:cs="Calibri"/>
                <w:color w:val="1D2129"/>
                <w:sz w:val="20"/>
                <w:szCs w:val="20"/>
              </w:rPr>
            </w:pPr>
          </w:p>
          <w:p w14:paraId="37D51E24"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Allocate time and training opportunities to support educators in pursuing their goals.</w:t>
            </w:r>
          </w:p>
          <w:p w14:paraId="05F20ED1"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Feedback Integration:</w:t>
            </w:r>
          </w:p>
          <w:p w14:paraId="322F2332" w14:textId="77777777" w:rsidR="00AF0B00" w:rsidRPr="00AF0B00" w:rsidRDefault="00AF0B00" w:rsidP="00AF0B00">
            <w:pPr>
              <w:spacing w:after="0"/>
              <w:rPr>
                <w:rStyle w:val="textexposedshow"/>
                <w:rFonts w:cs="Calibri"/>
                <w:color w:val="1D2129"/>
                <w:sz w:val="20"/>
                <w:szCs w:val="20"/>
              </w:rPr>
            </w:pPr>
          </w:p>
          <w:p w14:paraId="556602A4"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Integrate feedback mechanisms into reviews to capture suggestions and corrections.</w:t>
            </w:r>
          </w:p>
          <w:p w14:paraId="45802060"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Documentation Improvement:</w:t>
            </w:r>
          </w:p>
          <w:p w14:paraId="5F66D1B3" w14:textId="77777777" w:rsidR="00AF0B00" w:rsidRPr="00AF0B00" w:rsidRDefault="00AF0B00" w:rsidP="00AF0B00">
            <w:pPr>
              <w:spacing w:after="0"/>
              <w:rPr>
                <w:rStyle w:val="textexposedshow"/>
                <w:rFonts w:cs="Calibri"/>
                <w:color w:val="1D2129"/>
                <w:sz w:val="20"/>
                <w:szCs w:val="20"/>
              </w:rPr>
            </w:pPr>
          </w:p>
          <w:p w14:paraId="06879D2B"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Enhance documentation for tracking progress on goals and practice.</w:t>
            </w:r>
          </w:p>
          <w:p w14:paraId="1BA525A2" w14:textId="77777777" w:rsidR="00AF0B00" w:rsidRPr="00AF0B0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Goal Achievement Metrics:</w:t>
            </w:r>
          </w:p>
          <w:p w14:paraId="29A1755F" w14:textId="77777777" w:rsidR="00AF0B00" w:rsidRPr="00AF0B00" w:rsidRDefault="00AF0B00" w:rsidP="00AF0B00">
            <w:pPr>
              <w:spacing w:after="0"/>
              <w:rPr>
                <w:rStyle w:val="textexposedshow"/>
                <w:rFonts w:cs="Calibri"/>
                <w:color w:val="1D2129"/>
                <w:sz w:val="20"/>
                <w:szCs w:val="20"/>
              </w:rPr>
            </w:pPr>
          </w:p>
          <w:p w14:paraId="4E8664EA" w14:textId="322075DC" w:rsidR="00322335" w:rsidRPr="00D04580" w:rsidRDefault="00AF0B00" w:rsidP="00AF0B00">
            <w:pPr>
              <w:spacing w:after="0"/>
              <w:rPr>
                <w:rStyle w:val="textexposedshow"/>
                <w:rFonts w:cs="Calibri"/>
                <w:color w:val="1D2129"/>
                <w:sz w:val="20"/>
                <w:szCs w:val="20"/>
              </w:rPr>
            </w:pPr>
            <w:r w:rsidRPr="00AF0B00">
              <w:rPr>
                <w:rStyle w:val="textexposedshow"/>
                <w:rFonts w:cs="Calibri"/>
                <w:color w:val="1D2129"/>
                <w:sz w:val="20"/>
                <w:szCs w:val="20"/>
              </w:rPr>
              <w:t>Establish metrics to measure goal achievement and practice enhancement.</w:t>
            </w:r>
          </w:p>
        </w:tc>
        <w:tc>
          <w:tcPr>
            <w:tcW w:w="3402" w:type="dxa"/>
          </w:tcPr>
          <w:p w14:paraId="0836FFCC" w14:textId="77777777" w:rsidR="00B3206D" w:rsidRPr="00C06322" w:rsidRDefault="00B3206D" w:rsidP="00B3206D">
            <w:pPr>
              <w:rPr>
                <w:i/>
                <w:color w:val="FF0000"/>
                <w:sz w:val="20"/>
                <w:szCs w:val="20"/>
              </w:rPr>
            </w:pPr>
            <w:r w:rsidRPr="00C06322">
              <w:rPr>
                <w:i/>
                <w:sz w:val="20"/>
                <w:szCs w:val="20"/>
              </w:rPr>
              <w:lastRenderedPageBreak/>
              <w:t>Our performance review process consistently supports educators and staff to achieve their professional development goals and continually improve practice. For example:</w:t>
            </w:r>
          </w:p>
          <w:p w14:paraId="03690ECB" w14:textId="77777777" w:rsidR="00C06322" w:rsidRPr="00C06322" w:rsidRDefault="00B3206D" w:rsidP="002C7CD7">
            <w:pPr>
              <w:numPr>
                <w:ilvl w:val="0"/>
                <w:numId w:val="5"/>
              </w:numPr>
              <w:pBdr>
                <w:top w:val="nil"/>
                <w:left w:val="nil"/>
                <w:bottom w:val="nil"/>
                <w:right w:val="nil"/>
                <w:between w:val="nil"/>
              </w:pBdr>
              <w:spacing w:after="0" w:line="259" w:lineRule="auto"/>
              <w:rPr>
                <w:color w:val="000000"/>
                <w:sz w:val="20"/>
                <w:szCs w:val="20"/>
              </w:rPr>
            </w:pPr>
            <w:r w:rsidRPr="00C06322">
              <w:rPr>
                <w:color w:val="FF0000"/>
                <w:sz w:val="20"/>
                <w:szCs w:val="20"/>
              </w:rPr>
              <w:t xml:space="preserve">rather than an annual review process we regularly review performance </w:t>
            </w:r>
          </w:p>
          <w:p w14:paraId="7A76C3FA" w14:textId="0E844573" w:rsidR="00322335" w:rsidRPr="00C06322" w:rsidRDefault="00B3206D" w:rsidP="002C7CD7">
            <w:pPr>
              <w:numPr>
                <w:ilvl w:val="0"/>
                <w:numId w:val="5"/>
              </w:numPr>
              <w:pBdr>
                <w:top w:val="nil"/>
                <w:left w:val="nil"/>
                <w:bottom w:val="nil"/>
                <w:right w:val="nil"/>
                <w:between w:val="nil"/>
              </w:pBdr>
              <w:spacing w:after="0" w:line="259" w:lineRule="auto"/>
              <w:rPr>
                <w:color w:val="000000"/>
                <w:sz w:val="20"/>
                <w:szCs w:val="20"/>
              </w:rPr>
            </w:pPr>
            <w:r w:rsidRPr="00C06322">
              <w:rPr>
                <w:color w:val="FF0000"/>
                <w:sz w:val="20"/>
                <w:szCs w:val="20"/>
              </w:rPr>
              <w:t xml:space="preserve">supporting movement of staff into leadership/manager roles </w:t>
            </w:r>
            <w:r w:rsidRPr="00C06322">
              <w:rPr>
                <w:color w:val="FF0000"/>
                <w:sz w:val="20"/>
                <w:szCs w:val="20"/>
              </w:rPr>
              <w:lastRenderedPageBreak/>
              <w:t>(educators to room/group leader roles).</w:t>
            </w:r>
          </w:p>
        </w:tc>
        <w:tc>
          <w:tcPr>
            <w:tcW w:w="1134" w:type="dxa"/>
          </w:tcPr>
          <w:p w14:paraId="39494BC7" w14:textId="77777777" w:rsidR="00322335" w:rsidRPr="003F55B2" w:rsidRDefault="00322335" w:rsidP="00322335">
            <w:pPr>
              <w:spacing w:after="0" w:line="240" w:lineRule="auto"/>
              <w:rPr>
                <w:sz w:val="18"/>
                <w:szCs w:val="18"/>
              </w:rPr>
            </w:pPr>
          </w:p>
        </w:tc>
        <w:tc>
          <w:tcPr>
            <w:tcW w:w="3740" w:type="dxa"/>
          </w:tcPr>
          <w:p w14:paraId="4BECD1CE" w14:textId="77777777" w:rsidR="00322335" w:rsidRPr="000454C1" w:rsidRDefault="00322335" w:rsidP="00322335">
            <w:pPr>
              <w:spacing w:after="0" w:line="240" w:lineRule="auto"/>
              <w:rPr>
                <w:rFonts w:cs="Calibri"/>
                <w:color w:val="1D2129"/>
                <w:sz w:val="18"/>
                <w:szCs w:val="18"/>
              </w:rPr>
            </w:pPr>
          </w:p>
        </w:tc>
      </w:tr>
      <w:tr w:rsidR="009E0804" w:rsidRPr="0077080D" w14:paraId="059F9430" w14:textId="77777777" w:rsidTr="009E0804">
        <w:tc>
          <w:tcPr>
            <w:tcW w:w="973" w:type="dxa"/>
          </w:tcPr>
          <w:p w14:paraId="631AD86E" w14:textId="77777777" w:rsidR="00A32CE3" w:rsidRPr="0026071E" w:rsidRDefault="00A32CE3" w:rsidP="00A32CE3">
            <w:pPr>
              <w:pStyle w:val="NormalWeb"/>
              <w:spacing w:before="0" w:beforeAutospacing="0" w:after="0" w:afterAutospacing="0"/>
              <w:rPr>
                <w:sz w:val="22"/>
                <w:szCs w:val="22"/>
                <w:lang w:eastAsia="en-AU"/>
              </w:rPr>
            </w:pPr>
            <w:r>
              <w:rPr>
                <w:rFonts w:ascii="Calibri" w:hAnsi="Calibri" w:cs="Calibri"/>
                <w:color w:val="000000"/>
                <w:sz w:val="18"/>
                <w:szCs w:val="18"/>
              </w:rPr>
              <w:t>7.2.3</w:t>
            </w:r>
          </w:p>
          <w:p w14:paraId="17EDD140" w14:textId="77777777" w:rsidR="00A32CE3" w:rsidRPr="0026071E" w:rsidRDefault="00A32CE3" w:rsidP="00A32CE3">
            <w:pPr>
              <w:pStyle w:val="NormalWeb"/>
              <w:spacing w:before="0" w:beforeAutospacing="0" w:after="0" w:afterAutospacing="0"/>
              <w:rPr>
                <w:sz w:val="22"/>
                <w:szCs w:val="22"/>
              </w:rPr>
            </w:pPr>
            <w:r w:rsidRPr="0026071E">
              <w:rPr>
                <w:rFonts w:ascii="Calibri" w:hAnsi="Calibri" w:cs="Calibri"/>
                <w:color w:val="000000"/>
                <w:sz w:val="18"/>
                <w:szCs w:val="18"/>
              </w:rPr>
              <w:t xml:space="preserve">Week </w:t>
            </w:r>
            <w:r>
              <w:rPr>
                <w:rFonts w:ascii="Calibri" w:hAnsi="Calibri" w:cs="Calibri"/>
                <w:color w:val="000000"/>
                <w:sz w:val="18"/>
                <w:szCs w:val="18"/>
              </w:rPr>
              <w:t>40</w:t>
            </w:r>
          </w:p>
          <w:p w14:paraId="543E98BC" w14:textId="19813D33" w:rsidR="009E0804" w:rsidRDefault="00A32CE3" w:rsidP="00A32CE3">
            <w:pPr>
              <w:pStyle w:val="NoSpacing"/>
              <w:rPr>
                <w:rFonts w:cs="Calibri"/>
                <w:b/>
                <w:bCs/>
                <w:color w:val="000000"/>
                <w:sz w:val="18"/>
                <w:szCs w:val="18"/>
              </w:rPr>
            </w:pPr>
            <w:r w:rsidRPr="0026071E">
              <w:rPr>
                <w:rFonts w:cs="Calibri"/>
                <w:color w:val="000000"/>
                <w:sz w:val="18"/>
                <w:szCs w:val="18"/>
              </w:rPr>
              <w:t xml:space="preserve">Date: </w:t>
            </w:r>
            <w:r>
              <w:rPr>
                <w:rFonts w:cs="Calibri"/>
                <w:color w:val="000000"/>
                <w:sz w:val="18"/>
                <w:szCs w:val="18"/>
              </w:rPr>
              <w:lastRenderedPageBreak/>
              <w:t>11/12</w:t>
            </w:r>
            <w:r w:rsidRPr="0026071E">
              <w:rPr>
                <w:rFonts w:cs="Calibri"/>
                <w:color w:val="000000"/>
                <w:sz w:val="18"/>
                <w:szCs w:val="18"/>
              </w:rPr>
              <w:t>/23</w:t>
            </w:r>
            <w:r w:rsidR="009E0804">
              <w:rPr>
                <w:rFonts w:cs="Calibri"/>
                <w:color w:val="000000"/>
                <w:sz w:val="20"/>
                <w:szCs w:val="20"/>
              </w:rPr>
              <w:br/>
            </w:r>
            <w:r w:rsidR="009E0804" w:rsidRPr="00371FE4">
              <w:rPr>
                <w:rFonts w:cs="Calibri"/>
                <w:b/>
                <w:bCs/>
                <w:color w:val="000000"/>
                <w:sz w:val="18"/>
                <w:szCs w:val="18"/>
              </w:rPr>
              <w:t xml:space="preserve">Exceeding </w:t>
            </w:r>
            <w:r w:rsidR="009E0804" w:rsidRPr="00371FE4">
              <w:rPr>
                <w:rFonts w:cs="Calibri"/>
                <w:b/>
                <w:bCs/>
                <w:color w:val="000000"/>
                <w:sz w:val="18"/>
                <w:szCs w:val="18"/>
              </w:rPr>
              <w:br/>
              <w:t>Critical reflection</w:t>
            </w:r>
          </w:p>
          <w:p w14:paraId="0076452F" w14:textId="0FDD59AA" w:rsidR="009E0804" w:rsidRDefault="009E0804" w:rsidP="009E0804">
            <w:pPr>
              <w:pStyle w:val="NoSpacing"/>
              <w:rPr>
                <w:rFonts w:cs="HelveticaNeue-Light-Light"/>
                <w:sz w:val="18"/>
                <w:szCs w:val="18"/>
                <w:lang w:eastAsia="en-AU"/>
              </w:rPr>
            </w:pPr>
          </w:p>
        </w:tc>
        <w:tc>
          <w:tcPr>
            <w:tcW w:w="1403" w:type="dxa"/>
          </w:tcPr>
          <w:p w14:paraId="5448CA3B" w14:textId="35101310" w:rsidR="009E0804" w:rsidRPr="0057302A" w:rsidRDefault="00D10A72" w:rsidP="009E0804">
            <w:pPr>
              <w:spacing w:after="0" w:line="240" w:lineRule="auto"/>
              <w:rPr>
                <w:rStyle w:val="textexposedshow"/>
                <w:rFonts w:cs="Calibri"/>
                <w:color w:val="1D2129"/>
                <w:sz w:val="20"/>
                <w:szCs w:val="20"/>
              </w:rPr>
            </w:pPr>
            <w:r w:rsidRPr="00D10A72">
              <w:rPr>
                <w:rStyle w:val="textexposedshow"/>
                <w:rFonts w:cs="Calibri"/>
                <w:color w:val="1D2129"/>
                <w:sz w:val="20"/>
                <w:szCs w:val="20"/>
              </w:rPr>
              <w:lastRenderedPageBreak/>
              <w:t xml:space="preserve">Educators need to improve their </w:t>
            </w:r>
            <w:r w:rsidRPr="00D10A72">
              <w:rPr>
                <w:rStyle w:val="textexposedshow"/>
                <w:rFonts w:cs="Calibri"/>
                <w:color w:val="1D2129"/>
                <w:sz w:val="20"/>
                <w:szCs w:val="20"/>
              </w:rPr>
              <w:lastRenderedPageBreak/>
              <w:t>regular reflection on performance against the NQS, QIP issues, and teaching/learning goals to ensure high-quality outcomes and continual improvement.</w:t>
            </w:r>
          </w:p>
        </w:tc>
        <w:tc>
          <w:tcPr>
            <w:tcW w:w="2268" w:type="dxa"/>
          </w:tcPr>
          <w:p w14:paraId="07830F15" w14:textId="253DD667" w:rsidR="009E0804" w:rsidRPr="0057302A" w:rsidRDefault="00051E6F" w:rsidP="009E0804">
            <w:pPr>
              <w:spacing w:after="0" w:line="240" w:lineRule="auto"/>
              <w:rPr>
                <w:rStyle w:val="textexposedshow"/>
                <w:rFonts w:cs="Calibri"/>
                <w:color w:val="1D2129"/>
                <w:sz w:val="20"/>
                <w:szCs w:val="20"/>
              </w:rPr>
            </w:pPr>
            <w:r w:rsidRPr="00051E6F">
              <w:rPr>
                <w:rStyle w:val="textexposedshow"/>
                <w:rFonts w:cs="Calibri"/>
                <w:color w:val="1D2129"/>
                <w:sz w:val="20"/>
                <w:szCs w:val="20"/>
              </w:rPr>
              <w:lastRenderedPageBreak/>
              <w:t xml:space="preserve">Establish a culture where educators regularly reflect on performance </w:t>
            </w:r>
            <w:r w:rsidRPr="00051E6F">
              <w:rPr>
                <w:rStyle w:val="textexposedshow"/>
                <w:rFonts w:cs="Calibri"/>
                <w:color w:val="1D2129"/>
                <w:sz w:val="20"/>
                <w:szCs w:val="20"/>
              </w:rPr>
              <w:lastRenderedPageBreak/>
              <w:t>against the NQS, QIP issues, and teaching/learning goals, ensuring high-quality outcomes and continual improvement.</w:t>
            </w:r>
          </w:p>
        </w:tc>
        <w:tc>
          <w:tcPr>
            <w:tcW w:w="851" w:type="dxa"/>
          </w:tcPr>
          <w:p w14:paraId="49E648CF" w14:textId="77777777" w:rsidR="009E0804" w:rsidRPr="0057302A" w:rsidRDefault="009E0804" w:rsidP="009E080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585170B"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Training and Awareness:</w:t>
            </w:r>
          </w:p>
          <w:p w14:paraId="4DD1D6F0" w14:textId="77777777" w:rsidR="00051E6F" w:rsidRPr="00051E6F" w:rsidRDefault="00051E6F" w:rsidP="00051E6F">
            <w:pPr>
              <w:spacing w:after="0"/>
              <w:textAlignment w:val="baseline"/>
              <w:rPr>
                <w:rStyle w:val="textexposedshow"/>
                <w:rFonts w:cs="Calibri"/>
                <w:color w:val="1D2129"/>
                <w:sz w:val="20"/>
                <w:szCs w:val="20"/>
              </w:rPr>
            </w:pPr>
          </w:p>
          <w:p w14:paraId="062F9C25"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Provide training on the importance of regular reflection and its connection to NQS, QIP, and teaching/learning goals.</w:t>
            </w:r>
          </w:p>
          <w:p w14:paraId="6B85DA95"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Clear Reflection Guidelines:</w:t>
            </w:r>
          </w:p>
          <w:p w14:paraId="091F673D" w14:textId="77777777" w:rsidR="00051E6F" w:rsidRPr="00051E6F" w:rsidRDefault="00051E6F" w:rsidP="00051E6F">
            <w:pPr>
              <w:spacing w:after="0"/>
              <w:textAlignment w:val="baseline"/>
              <w:rPr>
                <w:rStyle w:val="textexposedshow"/>
                <w:rFonts w:cs="Calibri"/>
                <w:color w:val="1D2129"/>
                <w:sz w:val="20"/>
                <w:szCs w:val="20"/>
              </w:rPr>
            </w:pPr>
          </w:p>
          <w:p w14:paraId="14C85239"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Develop clear guidelines for educators to follow when reflecting on their performance, NQS alignment, and QIP issues.</w:t>
            </w:r>
          </w:p>
          <w:p w14:paraId="64071DFC"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Regular Checkpoints:</w:t>
            </w:r>
          </w:p>
          <w:p w14:paraId="00163F1E" w14:textId="77777777" w:rsidR="00051E6F" w:rsidRPr="00051E6F" w:rsidRDefault="00051E6F" w:rsidP="00051E6F">
            <w:pPr>
              <w:spacing w:after="0"/>
              <w:textAlignment w:val="baseline"/>
              <w:rPr>
                <w:rStyle w:val="textexposedshow"/>
                <w:rFonts w:cs="Calibri"/>
                <w:color w:val="1D2129"/>
                <w:sz w:val="20"/>
                <w:szCs w:val="20"/>
              </w:rPr>
            </w:pPr>
          </w:p>
          <w:p w14:paraId="70800AF5"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Implement periodic reflection checkpoints, such as monthly meetings or quarterly reviews, to ensure consistent practice.</w:t>
            </w:r>
          </w:p>
          <w:p w14:paraId="7B314785"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Peer Collaboration:</w:t>
            </w:r>
          </w:p>
          <w:p w14:paraId="2C91C429" w14:textId="77777777" w:rsidR="00051E6F" w:rsidRPr="00051E6F" w:rsidRDefault="00051E6F" w:rsidP="00051E6F">
            <w:pPr>
              <w:spacing w:after="0"/>
              <w:textAlignment w:val="baseline"/>
              <w:rPr>
                <w:rStyle w:val="textexposedshow"/>
                <w:rFonts w:cs="Calibri"/>
                <w:color w:val="1D2129"/>
                <w:sz w:val="20"/>
                <w:szCs w:val="20"/>
              </w:rPr>
            </w:pPr>
          </w:p>
          <w:p w14:paraId="6F1F22B2"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Encourage educators to collaborate with peers, discussing their reflections and sharing insights.</w:t>
            </w:r>
          </w:p>
          <w:p w14:paraId="188303A6"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 xml:space="preserve">Documentation and </w:t>
            </w:r>
            <w:r w:rsidRPr="00051E6F">
              <w:rPr>
                <w:rStyle w:val="textexposedshow"/>
                <w:rFonts w:cs="Calibri"/>
                <w:color w:val="1D2129"/>
                <w:sz w:val="20"/>
                <w:szCs w:val="20"/>
              </w:rPr>
              <w:lastRenderedPageBreak/>
              <w:t>Action Plans:</w:t>
            </w:r>
          </w:p>
          <w:p w14:paraId="752FA9E1" w14:textId="77777777" w:rsidR="00051E6F" w:rsidRPr="00051E6F" w:rsidRDefault="00051E6F" w:rsidP="00051E6F">
            <w:pPr>
              <w:spacing w:after="0"/>
              <w:textAlignment w:val="baseline"/>
              <w:rPr>
                <w:rStyle w:val="textexposedshow"/>
                <w:rFonts w:cs="Calibri"/>
                <w:color w:val="1D2129"/>
                <w:sz w:val="20"/>
                <w:szCs w:val="20"/>
              </w:rPr>
            </w:pPr>
          </w:p>
          <w:p w14:paraId="40950DE1"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Ensure educators document their reflections and create action plans based on their findings.</w:t>
            </w:r>
          </w:p>
          <w:p w14:paraId="3142555E" w14:textId="77777777" w:rsidR="00051E6F" w:rsidRPr="00051E6F"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Supervisory Support:</w:t>
            </w:r>
          </w:p>
          <w:p w14:paraId="58D1CED0" w14:textId="77777777" w:rsidR="00051E6F" w:rsidRPr="00051E6F" w:rsidRDefault="00051E6F" w:rsidP="00051E6F">
            <w:pPr>
              <w:spacing w:after="0"/>
              <w:textAlignment w:val="baseline"/>
              <w:rPr>
                <w:rStyle w:val="textexposedshow"/>
                <w:rFonts w:cs="Calibri"/>
                <w:color w:val="1D2129"/>
                <w:sz w:val="20"/>
                <w:szCs w:val="20"/>
              </w:rPr>
            </w:pPr>
          </w:p>
          <w:p w14:paraId="3CE109E2" w14:textId="03F7EF56" w:rsidR="009E0804" w:rsidRPr="00D04580" w:rsidRDefault="00051E6F" w:rsidP="00051E6F">
            <w:pPr>
              <w:spacing w:after="0"/>
              <w:textAlignment w:val="baseline"/>
              <w:rPr>
                <w:rStyle w:val="textexposedshow"/>
                <w:rFonts w:cs="Calibri"/>
                <w:color w:val="1D2129"/>
                <w:sz w:val="20"/>
                <w:szCs w:val="20"/>
              </w:rPr>
            </w:pPr>
            <w:r w:rsidRPr="00051E6F">
              <w:rPr>
                <w:rStyle w:val="textexposedshow"/>
                <w:rFonts w:cs="Calibri"/>
                <w:color w:val="1D2129"/>
                <w:sz w:val="20"/>
                <w:szCs w:val="20"/>
              </w:rPr>
              <w:t>Have supervisors actively support and review educators' reflection processes during performance reviews.</w:t>
            </w:r>
          </w:p>
        </w:tc>
        <w:tc>
          <w:tcPr>
            <w:tcW w:w="3402" w:type="dxa"/>
          </w:tcPr>
          <w:p w14:paraId="73B1BCFD" w14:textId="77777777" w:rsidR="007D5E7D" w:rsidRPr="00C06322" w:rsidRDefault="007D5E7D" w:rsidP="007D5E7D">
            <w:pPr>
              <w:rPr>
                <w:i/>
                <w:color w:val="FF0000"/>
                <w:sz w:val="20"/>
                <w:szCs w:val="20"/>
              </w:rPr>
            </w:pPr>
            <w:r w:rsidRPr="00C06322">
              <w:rPr>
                <w:i/>
                <w:sz w:val="20"/>
                <w:szCs w:val="20"/>
              </w:rPr>
              <w:lastRenderedPageBreak/>
              <w:t xml:space="preserve">Educators regularly reflect on performance against the NQS, issues </w:t>
            </w:r>
            <w:r w:rsidRPr="00C06322">
              <w:rPr>
                <w:i/>
                <w:sz w:val="20"/>
                <w:szCs w:val="20"/>
              </w:rPr>
              <w:lastRenderedPageBreak/>
              <w:t>identified in the QIP, and teaching/learning goals to ensure high-quality outcomes and continual improvement. For example:</w:t>
            </w:r>
          </w:p>
          <w:p w14:paraId="04AC2555" w14:textId="77777777" w:rsidR="007D5E7D" w:rsidRPr="00C06322" w:rsidRDefault="007D5E7D" w:rsidP="002C7CD7">
            <w:pPr>
              <w:numPr>
                <w:ilvl w:val="0"/>
                <w:numId w:val="4"/>
              </w:numPr>
              <w:pBdr>
                <w:top w:val="nil"/>
                <w:left w:val="nil"/>
                <w:bottom w:val="nil"/>
                <w:right w:val="nil"/>
                <w:between w:val="nil"/>
              </w:pBdr>
              <w:spacing w:after="0" w:line="259" w:lineRule="auto"/>
              <w:rPr>
                <w:color w:val="FF0000"/>
                <w:sz w:val="20"/>
                <w:szCs w:val="20"/>
              </w:rPr>
            </w:pPr>
            <w:r w:rsidRPr="00C06322">
              <w:rPr>
                <w:color w:val="FF0000"/>
                <w:sz w:val="20"/>
                <w:szCs w:val="20"/>
              </w:rPr>
              <w:t>CS weekly PD</w:t>
            </w:r>
          </w:p>
          <w:p w14:paraId="1BA65EED" w14:textId="77777777" w:rsidR="00C06322" w:rsidRPr="00C06322" w:rsidRDefault="007D5E7D" w:rsidP="002C7CD7">
            <w:pPr>
              <w:numPr>
                <w:ilvl w:val="0"/>
                <w:numId w:val="4"/>
              </w:numPr>
              <w:pBdr>
                <w:top w:val="nil"/>
                <w:left w:val="nil"/>
                <w:bottom w:val="nil"/>
                <w:right w:val="nil"/>
                <w:between w:val="nil"/>
              </w:pBdr>
              <w:spacing w:after="0" w:line="259" w:lineRule="auto"/>
              <w:rPr>
                <w:color w:val="FF0000"/>
                <w:sz w:val="20"/>
                <w:szCs w:val="20"/>
              </w:rPr>
            </w:pPr>
            <w:r w:rsidRPr="00C06322">
              <w:rPr>
                <w:color w:val="FF0000"/>
                <w:sz w:val="20"/>
                <w:szCs w:val="20"/>
              </w:rPr>
              <w:t>staff meetings include QIP (as a standing item)</w:t>
            </w:r>
          </w:p>
          <w:p w14:paraId="4282EA4D" w14:textId="380B1160" w:rsidR="009E0804" w:rsidRPr="00C06322" w:rsidRDefault="007D5E7D" w:rsidP="002C7CD7">
            <w:pPr>
              <w:numPr>
                <w:ilvl w:val="0"/>
                <w:numId w:val="4"/>
              </w:numPr>
              <w:pBdr>
                <w:top w:val="nil"/>
                <w:left w:val="nil"/>
                <w:bottom w:val="nil"/>
                <w:right w:val="nil"/>
                <w:between w:val="nil"/>
              </w:pBdr>
              <w:spacing w:after="0" w:line="259" w:lineRule="auto"/>
              <w:rPr>
                <w:color w:val="FF0000"/>
                <w:sz w:val="20"/>
                <w:szCs w:val="20"/>
              </w:rPr>
            </w:pPr>
            <w:r w:rsidRPr="00C06322">
              <w:rPr>
                <w:color w:val="FF0000"/>
                <w:sz w:val="20"/>
                <w:szCs w:val="20"/>
              </w:rPr>
              <w:t>our EL works with each educator’s teaching/learning goals.</w:t>
            </w:r>
          </w:p>
        </w:tc>
        <w:tc>
          <w:tcPr>
            <w:tcW w:w="1134" w:type="dxa"/>
          </w:tcPr>
          <w:p w14:paraId="33636104" w14:textId="77777777" w:rsidR="009E0804" w:rsidRPr="003F55B2" w:rsidRDefault="009E0804" w:rsidP="009E0804">
            <w:pPr>
              <w:spacing w:after="0" w:line="240" w:lineRule="auto"/>
              <w:rPr>
                <w:sz w:val="18"/>
                <w:szCs w:val="18"/>
              </w:rPr>
            </w:pPr>
          </w:p>
        </w:tc>
        <w:tc>
          <w:tcPr>
            <w:tcW w:w="3740" w:type="dxa"/>
          </w:tcPr>
          <w:p w14:paraId="068DB684" w14:textId="77777777" w:rsidR="009E0804" w:rsidRPr="000454C1" w:rsidRDefault="009E0804" w:rsidP="009E0804">
            <w:pPr>
              <w:spacing w:after="0" w:line="240" w:lineRule="auto"/>
              <w:rPr>
                <w:rFonts w:cs="Calibri"/>
                <w:color w:val="1D2129"/>
                <w:sz w:val="18"/>
                <w:szCs w:val="18"/>
              </w:rPr>
            </w:pPr>
          </w:p>
        </w:tc>
      </w:tr>
      <w:tr w:rsidR="00FA55FF" w:rsidRPr="0077080D" w14:paraId="3F3154B4" w14:textId="77777777" w:rsidTr="00FA55FF">
        <w:tc>
          <w:tcPr>
            <w:tcW w:w="973" w:type="dxa"/>
          </w:tcPr>
          <w:p w14:paraId="22E37F77" w14:textId="77777777" w:rsidR="00A32CE3" w:rsidRPr="0026071E" w:rsidRDefault="00A32CE3" w:rsidP="00A32CE3">
            <w:pPr>
              <w:pStyle w:val="NormalWeb"/>
              <w:spacing w:before="0" w:beforeAutospacing="0" w:after="0" w:afterAutospacing="0"/>
              <w:rPr>
                <w:sz w:val="22"/>
                <w:szCs w:val="22"/>
                <w:lang w:eastAsia="en-AU"/>
              </w:rPr>
            </w:pPr>
            <w:r>
              <w:rPr>
                <w:rFonts w:ascii="Calibri" w:hAnsi="Calibri" w:cs="Calibri"/>
                <w:color w:val="000000"/>
                <w:sz w:val="18"/>
                <w:szCs w:val="18"/>
              </w:rPr>
              <w:lastRenderedPageBreak/>
              <w:t>7.2.3</w:t>
            </w:r>
          </w:p>
          <w:p w14:paraId="0C9DCF9A" w14:textId="77777777" w:rsidR="00A32CE3" w:rsidRPr="0026071E" w:rsidRDefault="00A32CE3" w:rsidP="00A32CE3">
            <w:pPr>
              <w:pStyle w:val="NormalWeb"/>
              <w:spacing w:before="0" w:beforeAutospacing="0" w:after="0" w:afterAutospacing="0"/>
              <w:rPr>
                <w:sz w:val="22"/>
                <w:szCs w:val="22"/>
              </w:rPr>
            </w:pPr>
            <w:r w:rsidRPr="0026071E">
              <w:rPr>
                <w:rFonts w:ascii="Calibri" w:hAnsi="Calibri" w:cs="Calibri"/>
                <w:color w:val="000000"/>
                <w:sz w:val="18"/>
                <w:szCs w:val="18"/>
              </w:rPr>
              <w:t xml:space="preserve">Week </w:t>
            </w:r>
            <w:r>
              <w:rPr>
                <w:rFonts w:ascii="Calibri" w:hAnsi="Calibri" w:cs="Calibri"/>
                <w:color w:val="000000"/>
                <w:sz w:val="18"/>
                <w:szCs w:val="18"/>
              </w:rPr>
              <w:t>40</w:t>
            </w:r>
          </w:p>
          <w:p w14:paraId="58F53C8E" w14:textId="1D31F27B" w:rsidR="00FA55FF" w:rsidRDefault="00A32CE3" w:rsidP="00A32CE3">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11/12</w:t>
            </w:r>
            <w:r w:rsidRPr="0026071E">
              <w:rPr>
                <w:rFonts w:cs="Calibri"/>
                <w:color w:val="000000"/>
                <w:sz w:val="18"/>
                <w:szCs w:val="18"/>
              </w:rPr>
              <w:t>/23</w:t>
            </w:r>
            <w:r w:rsidR="00FA55FF">
              <w:rPr>
                <w:rFonts w:cs="Calibri"/>
                <w:color w:val="000000"/>
                <w:sz w:val="20"/>
                <w:szCs w:val="20"/>
              </w:rPr>
              <w:br/>
            </w:r>
            <w:r w:rsidR="00FA55FF" w:rsidRPr="00075FF4">
              <w:rPr>
                <w:rFonts w:cs="Calibri"/>
                <w:b/>
                <w:bCs/>
                <w:color w:val="000000"/>
                <w:sz w:val="16"/>
                <w:szCs w:val="16"/>
              </w:rPr>
              <w:t xml:space="preserve">Exceeding </w:t>
            </w:r>
            <w:r w:rsidR="00FA55FF" w:rsidRPr="00075FF4">
              <w:rPr>
                <w:rFonts w:cs="Calibri"/>
                <w:b/>
                <w:bCs/>
                <w:color w:val="000000"/>
                <w:sz w:val="16"/>
                <w:szCs w:val="16"/>
              </w:rPr>
              <w:br/>
              <w:t>Families and community</w:t>
            </w:r>
          </w:p>
          <w:p w14:paraId="5CF1BDA9" w14:textId="77777777" w:rsidR="00FA55FF" w:rsidRDefault="00FA55FF" w:rsidP="00FA55FF">
            <w:pPr>
              <w:pStyle w:val="NoSpacing"/>
              <w:rPr>
                <w:rFonts w:cs="Calibri"/>
                <w:color w:val="000000"/>
                <w:sz w:val="20"/>
                <w:szCs w:val="20"/>
              </w:rPr>
            </w:pPr>
          </w:p>
          <w:p w14:paraId="5320EFAC" w14:textId="1E8B315F" w:rsidR="00FA55FF" w:rsidRDefault="00FA55FF" w:rsidP="00FA55FF">
            <w:pPr>
              <w:pStyle w:val="NoSpacing"/>
              <w:rPr>
                <w:rFonts w:cs="HelveticaNeue-Light-Light"/>
                <w:sz w:val="18"/>
                <w:szCs w:val="18"/>
                <w:lang w:eastAsia="en-AU"/>
              </w:rPr>
            </w:pPr>
          </w:p>
        </w:tc>
        <w:tc>
          <w:tcPr>
            <w:tcW w:w="1403" w:type="dxa"/>
          </w:tcPr>
          <w:p w14:paraId="31977C64" w14:textId="52C7BA06" w:rsidR="00FA55FF" w:rsidRPr="0057302A" w:rsidRDefault="002C7CD7" w:rsidP="00FA55FF">
            <w:pPr>
              <w:spacing w:after="0" w:line="240" w:lineRule="auto"/>
              <w:rPr>
                <w:rStyle w:val="textexposedshow"/>
                <w:rFonts w:cs="Calibri"/>
                <w:color w:val="1D2129"/>
                <w:sz w:val="20"/>
                <w:szCs w:val="20"/>
              </w:rPr>
            </w:pPr>
            <w:r w:rsidRPr="002C7CD7">
              <w:rPr>
                <w:rStyle w:val="textexposedshow"/>
                <w:rFonts w:cs="Calibri"/>
                <w:color w:val="1D2129"/>
                <w:sz w:val="20"/>
                <w:szCs w:val="20"/>
              </w:rPr>
              <w:t>Community partnerships need strengthening to enhance professional learning at the service and support continuous quality improvement.</w:t>
            </w:r>
          </w:p>
        </w:tc>
        <w:tc>
          <w:tcPr>
            <w:tcW w:w="2268" w:type="dxa"/>
          </w:tcPr>
          <w:p w14:paraId="1B8BD92E" w14:textId="2EFEB590" w:rsidR="00FA55FF" w:rsidRPr="0057302A" w:rsidRDefault="002C7CD7" w:rsidP="00FA55FF">
            <w:pPr>
              <w:spacing w:after="0" w:line="240" w:lineRule="auto"/>
              <w:rPr>
                <w:rStyle w:val="textexposedshow"/>
                <w:rFonts w:cs="Calibri"/>
                <w:color w:val="1D2129"/>
                <w:sz w:val="20"/>
                <w:szCs w:val="20"/>
              </w:rPr>
            </w:pPr>
            <w:r w:rsidRPr="002C7CD7">
              <w:rPr>
                <w:rStyle w:val="textexposedshow"/>
                <w:rFonts w:cs="Calibri"/>
                <w:color w:val="1D2129"/>
                <w:sz w:val="20"/>
                <w:szCs w:val="20"/>
              </w:rPr>
              <w:t>Establish and strengthen community partnerships that enhance professional learning and contribute to continuous quality improvement at the service.</w:t>
            </w:r>
          </w:p>
        </w:tc>
        <w:tc>
          <w:tcPr>
            <w:tcW w:w="851" w:type="dxa"/>
          </w:tcPr>
          <w:p w14:paraId="5F176CCF" w14:textId="67E629EF" w:rsidR="00FA55FF" w:rsidRPr="0057302A" w:rsidRDefault="00FA55FF" w:rsidP="00FA55FF">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093BB835"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Assessment of Current Partnerships:</w:t>
            </w:r>
          </w:p>
          <w:p w14:paraId="5316711D" w14:textId="77777777" w:rsidR="002C7CD7" w:rsidRPr="002C7CD7" w:rsidRDefault="002C7CD7" w:rsidP="002C7CD7">
            <w:pPr>
              <w:spacing w:after="0"/>
              <w:rPr>
                <w:rStyle w:val="textexposedshow"/>
                <w:rFonts w:cs="Calibri"/>
                <w:color w:val="1D2129"/>
                <w:sz w:val="20"/>
                <w:szCs w:val="20"/>
              </w:rPr>
            </w:pPr>
          </w:p>
          <w:p w14:paraId="1EFE57A7"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Assess the current community partnerships to identify strengths, weaknesses, and areas for improvement.</w:t>
            </w:r>
          </w:p>
          <w:p w14:paraId="1E756DA6"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Identify Potential Partners:</w:t>
            </w:r>
          </w:p>
          <w:p w14:paraId="19FC33D4" w14:textId="77777777" w:rsidR="002C7CD7" w:rsidRPr="002C7CD7" w:rsidRDefault="002C7CD7" w:rsidP="002C7CD7">
            <w:pPr>
              <w:spacing w:after="0"/>
              <w:rPr>
                <w:rStyle w:val="textexposedshow"/>
                <w:rFonts w:cs="Calibri"/>
                <w:color w:val="1D2129"/>
                <w:sz w:val="20"/>
                <w:szCs w:val="20"/>
              </w:rPr>
            </w:pPr>
          </w:p>
          <w:p w14:paraId="7B5CFA2B"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 xml:space="preserve">Research and identify potential community partners that can contribute to professional </w:t>
            </w:r>
            <w:r w:rsidRPr="002C7CD7">
              <w:rPr>
                <w:rStyle w:val="textexposedshow"/>
                <w:rFonts w:cs="Calibri"/>
                <w:color w:val="1D2129"/>
                <w:sz w:val="20"/>
                <w:szCs w:val="20"/>
              </w:rPr>
              <w:lastRenderedPageBreak/>
              <w:t>learning and quality improvement.</w:t>
            </w:r>
          </w:p>
          <w:p w14:paraId="38F63FA1"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Partnership Development:</w:t>
            </w:r>
          </w:p>
          <w:p w14:paraId="59F3CEA4" w14:textId="77777777" w:rsidR="002C7CD7" w:rsidRPr="002C7CD7" w:rsidRDefault="002C7CD7" w:rsidP="002C7CD7">
            <w:pPr>
              <w:spacing w:after="0"/>
              <w:rPr>
                <w:rStyle w:val="textexposedshow"/>
                <w:rFonts w:cs="Calibri"/>
                <w:color w:val="1D2129"/>
                <w:sz w:val="20"/>
                <w:szCs w:val="20"/>
              </w:rPr>
            </w:pPr>
          </w:p>
          <w:p w14:paraId="794B4A88" w14:textId="7E1EC92C"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Establish and strengthen partnerships with identified organi</w:t>
            </w:r>
            <w:r w:rsidR="00EB57CD">
              <w:rPr>
                <w:rStyle w:val="textexposedshow"/>
                <w:rFonts w:cs="Calibri"/>
                <w:color w:val="1D2129"/>
                <w:sz w:val="20"/>
                <w:szCs w:val="20"/>
              </w:rPr>
              <w:t>s</w:t>
            </w:r>
            <w:r w:rsidRPr="002C7CD7">
              <w:rPr>
                <w:rStyle w:val="textexposedshow"/>
                <w:rFonts w:cs="Calibri"/>
                <w:color w:val="1D2129"/>
                <w:sz w:val="20"/>
                <w:szCs w:val="20"/>
              </w:rPr>
              <w:t>ations, institutions, or businesses.</w:t>
            </w:r>
          </w:p>
          <w:p w14:paraId="58774541"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Collaborative Workshops and Training:</w:t>
            </w:r>
          </w:p>
          <w:p w14:paraId="72A8C692" w14:textId="77777777" w:rsidR="002C7CD7" w:rsidRPr="002C7CD7" w:rsidRDefault="002C7CD7" w:rsidP="002C7CD7">
            <w:pPr>
              <w:spacing w:after="0"/>
              <w:rPr>
                <w:rStyle w:val="textexposedshow"/>
                <w:rFonts w:cs="Calibri"/>
                <w:color w:val="1D2129"/>
                <w:sz w:val="20"/>
                <w:szCs w:val="20"/>
              </w:rPr>
            </w:pPr>
          </w:p>
          <w:p w14:paraId="4FD6C7D3" w14:textId="0E08D228"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Organi</w:t>
            </w:r>
            <w:r w:rsidR="00EB57CD">
              <w:rPr>
                <w:rStyle w:val="textexposedshow"/>
                <w:rFonts w:cs="Calibri"/>
                <w:color w:val="1D2129"/>
                <w:sz w:val="20"/>
                <w:szCs w:val="20"/>
              </w:rPr>
              <w:t>s</w:t>
            </w:r>
            <w:r w:rsidRPr="002C7CD7">
              <w:rPr>
                <w:rStyle w:val="textexposedshow"/>
                <w:rFonts w:cs="Calibri"/>
                <w:color w:val="1D2129"/>
                <w:sz w:val="20"/>
                <w:szCs w:val="20"/>
              </w:rPr>
              <w:t>e collaborative workshops and training sessions with partners to enhance professional learning among staff.</w:t>
            </w:r>
          </w:p>
          <w:p w14:paraId="7DBCBBFF"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Resource Sharing:</w:t>
            </w:r>
          </w:p>
          <w:p w14:paraId="4C851761" w14:textId="77777777" w:rsidR="002C7CD7" w:rsidRPr="002C7CD7" w:rsidRDefault="002C7CD7" w:rsidP="002C7CD7">
            <w:pPr>
              <w:spacing w:after="0"/>
              <w:rPr>
                <w:rStyle w:val="textexposedshow"/>
                <w:rFonts w:cs="Calibri"/>
                <w:color w:val="1D2129"/>
                <w:sz w:val="20"/>
                <w:szCs w:val="20"/>
              </w:rPr>
            </w:pPr>
          </w:p>
          <w:p w14:paraId="28DEB3E4"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Facilitate resource sharing and knowledge exchange between the service and partners.</w:t>
            </w:r>
          </w:p>
          <w:p w14:paraId="02A7E888" w14:textId="77777777" w:rsidR="002C7CD7" w:rsidRPr="002C7CD7"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Evaluation and Feedback:</w:t>
            </w:r>
          </w:p>
          <w:p w14:paraId="7E904D71" w14:textId="77777777" w:rsidR="002C7CD7" w:rsidRPr="002C7CD7" w:rsidRDefault="002C7CD7" w:rsidP="002C7CD7">
            <w:pPr>
              <w:spacing w:after="0"/>
              <w:rPr>
                <w:rStyle w:val="textexposedshow"/>
                <w:rFonts w:cs="Calibri"/>
                <w:color w:val="1D2129"/>
                <w:sz w:val="20"/>
                <w:szCs w:val="20"/>
              </w:rPr>
            </w:pPr>
          </w:p>
          <w:p w14:paraId="0A45A61D" w14:textId="00F7F66C" w:rsidR="00FA55FF" w:rsidRPr="00D04580" w:rsidRDefault="002C7CD7" w:rsidP="002C7CD7">
            <w:pPr>
              <w:spacing w:after="0"/>
              <w:rPr>
                <w:rStyle w:val="textexposedshow"/>
                <w:rFonts w:cs="Calibri"/>
                <w:color w:val="1D2129"/>
                <w:sz w:val="20"/>
                <w:szCs w:val="20"/>
              </w:rPr>
            </w:pPr>
            <w:r w:rsidRPr="002C7CD7">
              <w:rPr>
                <w:rStyle w:val="textexposedshow"/>
                <w:rFonts w:cs="Calibri"/>
                <w:color w:val="1D2129"/>
                <w:sz w:val="20"/>
                <w:szCs w:val="20"/>
              </w:rPr>
              <w:t xml:space="preserve">Regularly evaluate the effectiveness of partnerships in </w:t>
            </w:r>
            <w:r w:rsidRPr="002C7CD7">
              <w:rPr>
                <w:rStyle w:val="textexposedshow"/>
                <w:rFonts w:cs="Calibri"/>
                <w:color w:val="1D2129"/>
                <w:sz w:val="20"/>
                <w:szCs w:val="20"/>
              </w:rPr>
              <w:lastRenderedPageBreak/>
              <w:t>enhancing professional learning and quality improvement. Gather feedback from staff.</w:t>
            </w:r>
          </w:p>
        </w:tc>
        <w:tc>
          <w:tcPr>
            <w:tcW w:w="3402" w:type="dxa"/>
          </w:tcPr>
          <w:p w14:paraId="7E8857A0" w14:textId="77777777" w:rsidR="004F6550" w:rsidRPr="00C06322" w:rsidRDefault="004F6550" w:rsidP="004F6550">
            <w:pPr>
              <w:rPr>
                <w:i/>
                <w:sz w:val="20"/>
                <w:szCs w:val="20"/>
              </w:rPr>
            </w:pPr>
            <w:r w:rsidRPr="00C06322">
              <w:rPr>
                <w:i/>
                <w:sz w:val="20"/>
                <w:szCs w:val="20"/>
              </w:rPr>
              <w:lastRenderedPageBreak/>
              <w:t>Community partnerships strengthen professional learning at the service and support continuous quality improvement. For example:</w:t>
            </w:r>
          </w:p>
          <w:p w14:paraId="4F9681FF" w14:textId="77777777" w:rsidR="004F6550" w:rsidRPr="00C06322" w:rsidRDefault="004F6550" w:rsidP="002C7CD7">
            <w:pPr>
              <w:numPr>
                <w:ilvl w:val="0"/>
                <w:numId w:val="3"/>
              </w:numPr>
              <w:pBdr>
                <w:top w:val="nil"/>
                <w:left w:val="nil"/>
                <w:bottom w:val="nil"/>
                <w:right w:val="nil"/>
                <w:between w:val="nil"/>
              </w:pBdr>
              <w:spacing w:after="0" w:line="259" w:lineRule="auto"/>
              <w:rPr>
                <w:color w:val="FF0000"/>
                <w:sz w:val="20"/>
                <w:szCs w:val="20"/>
              </w:rPr>
            </w:pPr>
            <w:r w:rsidRPr="00C06322">
              <w:rPr>
                <w:color w:val="FF0000"/>
                <w:sz w:val="20"/>
                <w:szCs w:val="20"/>
              </w:rPr>
              <w:t>CS weekly PD</w:t>
            </w:r>
          </w:p>
          <w:p w14:paraId="5C05EAA1" w14:textId="0A6E9B6A" w:rsidR="004F6550" w:rsidRPr="00C06322" w:rsidRDefault="004F6550" w:rsidP="002C7CD7">
            <w:pPr>
              <w:numPr>
                <w:ilvl w:val="0"/>
                <w:numId w:val="3"/>
              </w:numPr>
              <w:pBdr>
                <w:top w:val="nil"/>
                <w:left w:val="nil"/>
                <w:bottom w:val="nil"/>
                <w:right w:val="nil"/>
                <w:between w:val="nil"/>
              </w:pBdr>
              <w:spacing w:after="0" w:line="259" w:lineRule="auto"/>
              <w:rPr>
                <w:color w:val="FF0000"/>
                <w:sz w:val="20"/>
                <w:szCs w:val="20"/>
              </w:rPr>
            </w:pPr>
            <w:r w:rsidRPr="00C06322">
              <w:rPr>
                <w:color w:val="FF0000"/>
                <w:sz w:val="20"/>
                <w:szCs w:val="20"/>
              </w:rPr>
              <w:t xml:space="preserve">Red Nose </w:t>
            </w:r>
          </w:p>
          <w:p w14:paraId="6A06F7E7" w14:textId="77777777" w:rsidR="004F6550" w:rsidRPr="00C06322" w:rsidRDefault="004F6550" w:rsidP="002C7CD7">
            <w:pPr>
              <w:numPr>
                <w:ilvl w:val="0"/>
                <w:numId w:val="3"/>
              </w:numPr>
              <w:pBdr>
                <w:top w:val="nil"/>
                <w:left w:val="nil"/>
                <w:bottom w:val="nil"/>
                <w:right w:val="nil"/>
                <w:between w:val="nil"/>
              </w:pBdr>
              <w:spacing w:after="0" w:line="259" w:lineRule="auto"/>
              <w:rPr>
                <w:color w:val="FF0000"/>
                <w:sz w:val="20"/>
                <w:szCs w:val="20"/>
              </w:rPr>
            </w:pPr>
            <w:r w:rsidRPr="00C06322">
              <w:rPr>
                <w:color w:val="FF0000"/>
                <w:sz w:val="20"/>
                <w:szCs w:val="20"/>
              </w:rPr>
              <w:t>partnerships with health professionals such as OTs, speech therapist, optometrists, dentists, paediatricians</w:t>
            </w:r>
          </w:p>
          <w:p w14:paraId="28615BD2" w14:textId="77777777" w:rsidR="004F6550" w:rsidRPr="00C06322" w:rsidRDefault="004F6550" w:rsidP="002C7CD7">
            <w:pPr>
              <w:numPr>
                <w:ilvl w:val="0"/>
                <w:numId w:val="3"/>
              </w:numPr>
              <w:pBdr>
                <w:top w:val="nil"/>
                <w:left w:val="nil"/>
                <w:bottom w:val="nil"/>
                <w:right w:val="nil"/>
                <w:between w:val="nil"/>
              </w:pBdr>
              <w:spacing w:after="0" w:line="259" w:lineRule="auto"/>
              <w:rPr>
                <w:color w:val="FF0000"/>
                <w:sz w:val="20"/>
                <w:szCs w:val="20"/>
              </w:rPr>
            </w:pPr>
            <w:r w:rsidRPr="00C06322">
              <w:rPr>
                <w:color w:val="FF0000"/>
                <w:sz w:val="20"/>
                <w:szCs w:val="20"/>
              </w:rPr>
              <w:t>working with organisations/community members to implement behaviour plans/learning plans/medical plans</w:t>
            </w:r>
          </w:p>
          <w:p w14:paraId="3A0C4747" w14:textId="77777777" w:rsidR="004F6550" w:rsidRPr="00C06322" w:rsidRDefault="004F6550" w:rsidP="002C7CD7">
            <w:pPr>
              <w:numPr>
                <w:ilvl w:val="0"/>
                <w:numId w:val="3"/>
              </w:numPr>
              <w:pBdr>
                <w:top w:val="nil"/>
                <w:left w:val="nil"/>
                <w:bottom w:val="nil"/>
                <w:right w:val="nil"/>
                <w:between w:val="nil"/>
              </w:pBdr>
              <w:spacing w:after="0" w:line="259" w:lineRule="auto"/>
              <w:rPr>
                <w:color w:val="FF0000"/>
                <w:sz w:val="20"/>
                <w:szCs w:val="20"/>
              </w:rPr>
            </w:pPr>
            <w:r w:rsidRPr="00C06322">
              <w:rPr>
                <w:color w:val="FF0000"/>
                <w:sz w:val="20"/>
                <w:szCs w:val="20"/>
              </w:rPr>
              <w:t>links with cultural organisations</w:t>
            </w:r>
          </w:p>
          <w:p w14:paraId="04174D48" w14:textId="77777777" w:rsidR="004F6550" w:rsidRPr="00C06322" w:rsidRDefault="004F6550" w:rsidP="002C7CD7">
            <w:pPr>
              <w:numPr>
                <w:ilvl w:val="0"/>
                <w:numId w:val="3"/>
              </w:numPr>
              <w:pBdr>
                <w:top w:val="nil"/>
                <w:left w:val="nil"/>
                <w:bottom w:val="nil"/>
                <w:right w:val="nil"/>
                <w:between w:val="nil"/>
              </w:pBdr>
              <w:spacing w:after="0" w:line="259" w:lineRule="auto"/>
              <w:rPr>
                <w:color w:val="FF0000"/>
                <w:sz w:val="20"/>
                <w:szCs w:val="20"/>
              </w:rPr>
            </w:pPr>
            <w:r w:rsidRPr="00C06322">
              <w:rPr>
                <w:color w:val="FF0000"/>
                <w:sz w:val="20"/>
                <w:szCs w:val="20"/>
              </w:rPr>
              <w:t>links with community groups providing dance, sport, yoga</w:t>
            </w:r>
          </w:p>
          <w:p w14:paraId="0CFC7882" w14:textId="77777777" w:rsidR="004F6550" w:rsidRPr="00C06322" w:rsidRDefault="004F6550" w:rsidP="002C7CD7">
            <w:pPr>
              <w:numPr>
                <w:ilvl w:val="0"/>
                <w:numId w:val="3"/>
              </w:numPr>
              <w:pBdr>
                <w:top w:val="nil"/>
                <w:left w:val="nil"/>
                <w:bottom w:val="nil"/>
                <w:right w:val="nil"/>
                <w:between w:val="nil"/>
              </w:pBdr>
              <w:spacing w:after="160" w:line="259" w:lineRule="auto"/>
              <w:rPr>
                <w:color w:val="FF0000"/>
                <w:sz w:val="20"/>
                <w:szCs w:val="20"/>
              </w:rPr>
            </w:pPr>
            <w:r w:rsidRPr="00C06322">
              <w:rPr>
                <w:color w:val="FF0000"/>
                <w:sz w:val="20"/>
                <w:szCs w:val="20"/>
              </w:rPr>
              <w:t>links with businesses/venues for regular outings/excursions.</w:t>
            </w:r>
          </w:p>
          <w:p w14:paraId="4BC6729F" w14:textId="13A2E1AE" w:rsidR="00FA55FF" w:rsidRPr="00C06322" w:rsidRDefault="00FA55FF" w:rsidP="00A32CE3">
            <w:pPr>
              <w:pBdr>
                <w:top w:val="nil"/>
                <w:left w:val="nil"/>
                <w:bottom w:val="nil"/>
                <w:right w:val="nil"/>
                <w:between w:val="nil"/>
              </w:pBdr>
              <w:spacing w:after="0" w:line="259" w:lineRule="auto"/>
              <w:rPr>
                <w:color w:val="FF0000"/>
                <w:sz w:val="20"/>
                <w:szCs w:val="20"/>
              </w:rPr>
            </w:pPr>
          </w:p>
        </w:tc>
        <w:tc>
          <w:tcPr>
            <w:tcW w:w="1134" w:type="dxa"/>
          </w:tcPr>
          <w:p w14:paraId="172826BD" w14:textId="77777777" w:rsidR="00FA55FF" w:rsidRPr="003F55B2" w:rsidRDefault="00FA55FF" w:rsidP="00FA55FF">
            <w:pPr>
              <w:spacing w:after="0" w:line="240" w:lineRule="auto"/>
              <w:rPr>
                <w:sz w:val="18"/>
                <w:szCs w:val="18"/>
              </w:rPr>
            </w:pPr>
          </w:p>
        </w:tc>
        <w:tc>
          <w:tcPr>
            <w:tcW w:w="3740" w:type="dxa"/>
          </w:tcPr>
          <w:p w14:paraId="7A62E67D" w14:textId="77777777" w:rsidR="00FA55FF" w:rsidRPr="000454C1" w:rsidRDefault="00FA55FF" w:rsidP="00FA55FF">
            <w:pPr>
              <w:spacing w:after="0" w:line="240" w:lineRule="auto"/>
              <w:rPr>
                <w:rFonts w:cs="Calibri"/>
                <w:color w:val="1D2129"/>
                <w:sz w:val="18"/>
                <w:szCs w:val="18"/>
              </w:rPr>
            </w:pPr>
          </w:p>
        </w:tc>
      </w:tr>
    </w:tbl>
    <w:p w14:paraId="628B4AA4" w14:textId="7514744A" w:rsidR="003B74C5" w:rsidRPr="003B74C5" w:rsidRDefault="006230CA" w:rsidP="00F90E2B">
      <w:pPr>
        <w:rPr>
          <w:lang w:eastAsia="en-AU"/>
        </w:rPr>
      </w:pPr>
      <w:r>
        <w:rPr>
          <w:rFonts w:ascii="HelveticaNeue-Thin" w:hAnsi="HelveticaNeue-Thin" w:cs="HelveticaNeue-Thin"/>
          <w:color w:val="010202"/>
        </w:rPr>
        <w:lastRenderedPageBreak/>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B91188">
        <w:rPr>
          <w:rFonts w:ascii="HelveticaNeue-Thin" w:hAnsi="HelveticaNeue-Thin" w:cs="HelveticaNeue-Thin"/>
          <w:b/>
          <w:bCs/>
          <w:color w:val="010202"/>
        </w:rPr>
        <w:t>7.2 Leadership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73CA6BBC" w:rsidR="00B0081A" w:rsidRDefault="008D4EE1" w:rsidP="00B0081A">
            <w:pPr>
              <w:spacing w:after="0"/>
              <w:jc w:val="both"/>
              <w:rPr>
                <w:rFonts w:cs="Arial"/>
              </w:rPr>
            </w:pPr>
            <w:r w:rsidRPr="00B0081A">
              <w:rPr>
                <w:rFonts w:cs="Arial"/>
              </w:rPr>
              <w:t xml:space="preserve">In the strength example for element </w:t>
            </w:r>
            <w:r w:rsidR="00346D43">
              <w:rPr>
                <w:rFonts w:cs="Arial"/>
              </w:rPr>
              <w:t>7.2.</w:t>
            </w:r>
            <w:r w:rsidR="00A32CE3">
              <w:rPr>
                <w:rFonts w:cs="Arial"/>
              </w:rPr>
              <w:t>3</w:t>
            </w:r>
            <w:r w:rsidR="00862DE6">
              <w:rPr>
                <w:rFonts w:cs="Arial"/>
              </w:rPr>
              <w:t xml:space="preserve"> </w:t>
            </w:r>
            <w:r w:rsidRPr="00B0081A">
              <w:rPr>
                <w:rFonts w:cs="Arial"/>
              </w:rPr>
              <w:t>we have identified the following exceeding theme indicators:</w:t>
            </w:r>
          </w:p>
          <w:p w14:paraId="4E7DC49D" w14:textId="52F5DB63" w:rsidR="008D4EE1" w:rsidRPr="00E20089" w:rsidRDefault="00F5536F" w:rsidP="00BA0424">
            <w:pPr>
              <w:numPr>
                <w:ilvl w:val="0"/>
                <w:numId w:val="1"/>
              </w:numPr>
              <w:rPr>
                <w:rFonts w:cs="Arial"/>
                <w:iCs/>
              </w:rPr>
            </w:pPr>
            <w:r>
              <w:rPr>
                <w:i/>
              </w:rPr>
              <w:t>Our performance review process consistently supports educators and staff to achieve their professional development goals and continually improve practice</w:t>
            </w:r>
            <w:r>
              <w:rPr>
                <w:i/>
              </w:rPr>
              <w:t>.</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3C9936C" w:rsidR="00A16148" w:rsidRDefault="008D4EE1" w:rsidP="002D52F5">
            <w:pPr>
              <w:spacing w:after="0"/>
            </w:pPr>
            <w:r w:rsidRPr="00B0081A">
              <w:t xml:space="preserve">In the strength example for element </w:t>
            </w:r>
            <w:r w:rsidR="00346D43">
              <w:rPr>
                <w:rFonts w:cs="Arial"/>
              </w:rPr>
              <w:t>7.2.</w:t>
            </w:r>
            <w:r w:rsidR="00A32CE3">
              <w:rPr>
                <w:rFonts w:cs="Arial"/>
              </w:rPr>
              <w:t>3</w:t>
            </w:r>
            <w:r w:rsidRPr="00B0081A">
              <w:t xml:space="preserve"> we have identified the following exceeding theme indicators:</w:t>
            </w:r>
            <w:r w:rsidR="00A16148" w:rsidRPr="00B0081A">
              <w:t xml:space="preserve"> </w:t>
            </w:r>
          </w:p>
          <w:p w14:paraId="79641D8F" w14:textId="3295E023" w:rsidR="00B0081A" w:rsidRPr="00E20089" w:rsidRDefault="00037DBF" w:rsidP="00405E26">
            <w:pPr>
              <w:numPr>
                <w:ilvl w:val="0"/>
                <w:numId w:val="1"/>
              </w:numPr>
              <w:spacing w:after="0"/>
              <w:rPr>
                <w:iCs/>
              </w:rPr>
            </w:pPr>
            <w:r>
              <w:rPr>
                <w:i/>
              </w:rPr>
              <w:t>Educators regularly reflect on performance against the NQS, issues identified in the QIP, and teaching/learning goals to ensure high-quality outcomes and continual improvement.</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7B52FF5B" w:rsidR="00317C21" w:rsidRDefault="008D4EE1" w:rsidP="00B0081A">
            <w:pPr>
              <w:spacing w:after="0"/>
            </w:pPr>
            <w:r w:rsidRPr="00B0081A">
              <w:t xml:space="preserve">In the strength example for element </w:t>
            </w:r>
            <w:r w:rsidR="00346D43">
              <w:rPr>
                <w:rFonts w:cs="Arial"/>
              </w:rPr>
              <w:t>7.2.</w:t>
            </w:r>
            <w:r w:rsidR="00A32CE3">
              <w:rPr>
                <w:rFonts w:cs="Arial"/>
              </w:rPr>
              <w:t>3</w:t>
            </w:r>
            <w:r w:rsidRPr="00B0081A">
              <w:t xml:space="preserve"> we have identified the following exceeding theme indicators:</w:t>
            </w:r>
          </w:p>
          <w:p w14:paraId="6FF3C3FB" w14:textId="07DEB1AB" w:rsidR="00B0081A" w:rsidRPr="006726C0" w:rsidRDefault="00A96E6B" w:rsidP="002C7CD7">
            <w:pPr>
              <w:numPr>
                <w:ilvl w:val="0"/>
                <w:numId w:val="2"/>
              </w:numPr>
              <w:rPr>
                <w:iCs/>
              </w:rPr>
            </w:pPr>
            <w:r>
              <w:rPr>
                <w:i/>
              </w:rPr>
              <w:t>Community partnerships strengthen professional learning at the service and support continuous quality improvement.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3FD0"/>
    <w:multiLevelType w:val="multilevel"/>
    <w:tmpl w:val="9C6423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F7097"/>
    <w:multiLevelType w:val="multilevel"/>
    <w:tmpl w:val="32B841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77577CF"/>
    <w:multiLevelType w:val="multilevel"/>
    <w:tmpl w:val="334098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96210BA"/>
    <w:multiLevelType w:val="multilevel"/>
    <w:tmpl w:val="E4788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2"/>
  </w:num>
  <w:num w:numId="2" w16cid:durableId="782191672">
    <w:abstractNumId w:val="1"/>
  </w:num>
  <w:num w:numId="3" w16cid:durableId="868252422">
    <w:abstractNumId w:val="5"/>
  </w:num>
  <w:num w:numId="4" w16cid:durableId="1837381161">
    <w:abstractNumId w:val="0"/>
  </w:num>
  <w:num w:numId="5" w16cid:durableId="1308164830">
    <w:abstractNumId w:val="3"/>
  </w:num>
  <w:num w:numId="6" w16cid:durableId="8270943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6758"/>
    <w:rsid w:val="0000751C"/>
    <w:rsid w:val="00015CCA"/>
    <w:rsid w:val="000160DF"/>
    <w:rsid w:val="00016D4B"/>
    <w:rsid w:val="00017CAA"/>
    <w:rsid w:val="00022373"/>
    <w:rsid w:val="00025665"/>
    <w:rsid w:val="00026CB6"/>
    <w:rsid w:val="0003105E"/>
    <w:rsid w:val="00031283"/>
    <w:rsid w:val="0003165A"/>
    <w:rsid w:val="000339A3"/>
    <w:rsid w:val="00035EBC"/>
    <w:rsid w:val="0003660D"/>
    <w:rsid w:val="00037A60"/>
    <w:rsid w:val="00037DBF"/>
    <w:rsid w:val="000407CF"/>
    <w:rsid w:val="000454C1"/>
    <w:rsid w:val="00045E1F"/>
    <w:rsid w:val="0005176B"/>
    <w:rsid w:val="00051D03"/>
    <w:rsid w:val="00051E6F"/>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B27"/>
    <w:rsid w:val="00086F41"/>
    <w:rsid w:val="00090658"/>
    <w:rsid w:val="00091A4F"/>
    <w:rsid w:val="00093FB2"/>
    <w:rsid w:val="000945E9"/>
    <w:rsid w:val="000A11D1"/>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2464"/>
    <w:rsid w:val="000F6C6E"/>
    <w:rsid w:val="001044EC"/>
    <w:rsid w:val="00104C5E"/>
    <w:rsid w:val="00105653"/>
    <w:rsid w:val="0010572E"/>
    <w:rsid w:val="0011160F"/>
    <w:rsid w:val="00112C30"/>
    <w:rsid w:val="00112E42"/>
    <w:rsid w:val="001164FA"/>
    <w:rsid w:val="001217DD"/>
    <w:rsid w:val="00121F13"/>
    <w:rsid w:val="00123DCB"/>
    <w:rsid w:val="00123E7F"/>
    <w:rsid w:val="00124E4E"/>
    <w:rsid w:val="001251A9"/>
    <w:rsid w:val="001271F8"/>
    <w:rsid w:val="001324D5"/>
    <w:rsid w:val="00133413"/>
    <w:rsid w:val="00141A01"/>
    <w:rsid w:val="00143BD7"/>
    <w:rsid w:val="00151BDD"/>
    <w:rsid w:val="00151D29"/>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A45AA"/>
    <w:rsid w:val="001B236B"/>
    <w:rsid w:val="001B443E"/>
    <w:rsid w:val="001B71DB"/>
    <w:rsid w:val="001B74D4"/>
    <w:rsid w:val="001C210D"/>
    <w:rsid w:val="001C3341"/>
    <w:rsid w:val="001C4694"/>
    <w:rsid w:val="001C730C"/>
    <w:rsid w:val="001D0426"/>
    <w:rsid w:val="001D2A37"/>
    <w:rsid w:val="001D2BE0"/>
    <w:rsid w:val="001D44DE"/>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025"/>
    <w:rsid w:val="00253640"/>
    <w:rsid w:val="00254010"/>
    <w:rsid w:val="0025451E"/>
    <w:rsid w:val="0026071E"/>
    <w:rsid w:val="002620A9"/>
    <w:rsid w:val="00262138"/>
    <w:rsid w:val="00263552"/>
    <w:rsid w:val="002644B4"/>
    <w:rsid w:val="00265AD9"/>
    <w:rsid w:val="00265E26"/>
    <w:rsid w:val="00271A85"/>
    <w:rsid w:val="002750B9"/>
    <w:rsid w:val="002759DC"/>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C7CD7"/>
    <w:rsid w:val="002D0BD7"/>
    <w:rsid w:val="002D4100"/>
    <w:rsid w:val="002D52F5"/>
    <w:rsid w:val="002D5CE8"/>
    <w:rsid w:val="002D6F4E"/>
    <w:rsid w:val="002E0BB0"/>
    <w:rsid w:val="002E0DE0"/>
    <w:rsid w:val="002E1D13"/>
    <w:rsid w:val="002E4687"/>
    <w:rsid w:val="002F13B7"/>
    <w:rsid w:val="002F3B5C"/>
    <w:rsid w:val="002F63CF"/>
    <w:rsid w:val="00300E2B"/>
    <w:rsid w:val="00305799"/>
    <w:rsid w:val="003075EE"/>
    <w:rsid w:val="003135F4"/>
    <w:rsid w:val="0031630F"/>
    <w:rsid w:val="00317C21"/>
    <w:rsid w:val="003213A8"/>
    <w:rsid w:val="003216A2"/>
    <w:rsid w:val="00322335"/>
    <w:rsid w:val="00324719"/>
    <w:rsid w:val="003258B2"/>
    <w:rsid w:val="0032655B"/>
    <w:rsid w:val="003326FA"/>
    <w:rsid w:val="00333320"/>
    <w:rsid w:val="003348A2"/>
    <w:rsid w:val="003356EF"/>
    <w:rsid w:val="00343503"/>
    <w:rsid w:val="0034477A"/>
    <w:rsid w:val="00344B26"/>
    <w:rsid w:val="00344F31"/>
    <w:rsid w:val="00346016"/>
    <w:rsid w:val="0034640E"/>
    <w:rsid w:val="00346D43"/>
    <w:rsid w:val="00352B4D"/>
    <w:rsid w:val="003556EB"/>
    <w:rsid w:val="00356B44"/>
    <w:rsid w:val="003600FB"/>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70F5"/>
    <w:rsid w:val="0039083B"/>
    <w:rsid w:val="00391131"/>
    <w:rsid w:val="003911AA"/>
    <w:rsid w:val="00391BA9"/>
    <w:rsid w:val="00392441"/>
    <w:rsid w:val="003957B3"/>
    <w:rsid w:val="00397357"/>
    <w:rsid w:val="00397952"/>
    <w:rsid w:val="003A058A"/>
    <w:rsid w:val="003A3033"/>
    <w:rsid w:val="003A353A"/>
    <w:rsid w:val="003A49FC"/>
    <w:rsid w:val="003A57CB"/>
    <w:rsid w:val="003A60DD"/>
    <w:rsid w:val="003A6D19"/>
    <w:rsid w:val="003A7261"/>
    <w:rsid w:val="003B09F0"/>
    <w:rsid w:val="003B39C9"/>
    <w:rsid w:val="003B5235"/>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04D2"/>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6188"/>
    <w:rsid w:val="004872A5"/>
    <w:rsid w:val="00490031"/>
    <w:rsid w:val="00494557"/>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3D47"/>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4F6550"/>
    <w:rsid w:val="005025C5"/>
    <w:rsid w:val="0050400A"/>
    <w:rsid w:val="005047F9"/>
    <w:rsid w:val="00505EAB"/>
    <w:rsid w:val="005075A5"/>
    <w:rsid w:val="0051497C"/>
    <w:rsid w:val="00516B27"/>
    <w:rsid w:val="0052014F"/>
    <w:rsid w:val="005221D1"/>
    <w:rsid w:val="005241E0"/>
    <w:rsid w:val="00525761"/>
    <w:rsid w:val="0052684B"/>
    <w:rsid w:val="00533F98"/>
    <w:rsid w:val="0053583E"/>
    <w:rsid w:val="00535AA7"/>
    <w:rsid w:val="0054089A"/>
    <w:rsid w:val="00543B96"/>
    <w:rsid w:val="00543E90"/>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0071"/>
    <w:rsid w:val="005A4390"/>
    <w:rsid w:val="005A68DB"/>
    <w:rsid w:val="005B0F67"/>
    <w:rsid w:val="005B1694"/>
    <w:rsid w:val="005B3DB3"/>
    <w:rsid w:val="005B45F2"/>
    <w:rsid w:val="005C0417"/>
    <w:rsid w:val="005C084A"/>
    <w:rsid w:val="005C4079"/>
    <w:rsid w:val="005C4CD0"/>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C0"/>
    <w:rsid w:val="006726FC"/>
    <w:rsid w:val="00673A0C"/>
    <w:rsid w:val="00675968"/>
    <w:rsid w:val="00680B99"/>
    <w:rsid w:val="00680BB2"/>
    <w:rsid w:val="00682AC5"/>
    <w:rsid w:val="00682BFD"/>
    <w:rsid w:val="00682D12"/>
    <w:rsid w:val="0068332A"/>
    <w:rsid w:val="006854E1"/>
    <w:rsid w:val="00685999"/>
    <w:rsid w:val="00686EBD"/>
    <w:rsid w:val="006949BC"/>
    <w:rsid w:val="006954B0"/>
    <w:rsid w:val="00697C64"/>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09DB"/>
    <w:rsid w:val="006D39AB"/>
    <w:rsid w:val="006E039B"/>
    <w:rsid w:val="006E19B7"/>
    <w:rsid w:val="006E20AC"/>
    <w:rsid w:val="006E3153"/>
    <w:rsid w:val="006E431E"/>
    <w:rsid w:val="006E6F78"/>
    <w:rsid w:val="006F27CD"/>
    <w:rsid w:val="006F3FD1"/>
    <w:rsid w:val="006F4E86"/>
    <w:rsid w:val="0070014D"/>
    <w:rsid w:val="00703AA3"/>
    <w:rsid w:val="00704AE3"/>
    <w:rsid w:val="007055E1"/>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2E23"/>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87586"/>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5E7D"/>
    <w:rsid w:val="007D726B"/>
    <w:rsid w:val="007D75C8"/>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162E4"/>
    <w:rsid w:val="00821FE5"/>
    <w:rsid w:val="008221C9"/>
    <w:rsid w:val="00825382"/>
    <w:rsid w:val="008258F0"/>
    <w:rsid w:val="00826FA6"/>
    <w:rsid w:val="008274AF"/>
    <w:rsid w:val="00827D1F"/>
    <w:rsid w:val="00831266"/>
    <w:rsid w:val="00832EEC"/>
    <w:rsid w:val="00833D2B"/>
    <w:rsid w:val="00836869"/>
    <w:rsid w:val="008400CB"/>
    <w:rsid w:val="00841175"/>
    <w:rsid w:val="0084209F"/>
    <w:rsid w:val="0084420F"/>
    <w:rsid w:val="0085247F"/>
    <w:rsid w:val="00853945"/>
    <w:rsid w:val="00854ADB"/>
    <w:rsid w:val="00854D8A"/>
    <w:rsid w:val="00855049"/>
    <w:rsid w:val="00855926"/>
    <w:rsid w:val="00857D4D"/>
    <w:rsid w:val="00860572"/>
    <w:rsid w:val="0086083D"/>
    <w:rsid w:val="00861A2A"/>
    <w:rsid w:val="00861F0C"/>
    <w:rsid w:val="008629B9"/>
    <w:rsid w:val="00862DE6"/>
    <w:rsid w:val="0086552F"/>
    <w:rsid w:val="00866DF8"/>
    <w:rsid w:val="00866E15"/>
    <w:rsid w:val="008733AF"/>
    <w:rsid w:val="0087344C"/>
    <w:rsid w:val="00874BA9"/>
    <w:rsid w:val="0088143B"/>
    <w:rsid w:val="008871F4"/>
    <w:rsid w:val="008962A8"/>
    <w:rsid w:val="0089659D"/>
    <w:rsid w:val="008968E3"/>
    <w:rsid w:val="00897A50"/>
    <w:rsid w:val="008A02D5"/>
    <w:rsid w:val="008A08D2"/>
    <w:rsid w:val="008A1849"/>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8F7DE3"/>
    <w:rsid w:val="00900B3F"/>
    <w:rsid w:val="00900DEE"/>
    <w:rsid w:val="00901206"/>
    <w:rsid w:val="009017CC"/>
    <w:rsid w:val="00902F29"/>
    <w:rsid w:val="00902F5A"/>
    <w:rsid w:val="0090377D"/>
    <w:rsid w:val="009038A0"/>
    <w:rsid w:val="00904450"/>
    <w:rsid w:val="00911663"/>
    <w:rsid w:val="009139AF"/>
    <w:rsid w:val="00913CE6"/>
    <w:rsid w:val="009149D3"/>
    <w:rsid w:val="00914F9D"/>
    <w:rsid w:val="00915B8D"/>
    <w:rsid w:val="00917C3E"/>
    <w:rsid w:val="009255B0"/>
    <w:rsid w:val="009306A2"/>
    <w:rsid w:val="00931767"/>
    <w:rsid w:val="00934C30"/>
    <w:rsid w:val="00935E5E"/>
    <w:rsid w:val="00937DAA"/>
    <w:rsid w:val="0094384C"/>
    <w:rsid w:val="00946361"/>
    <w:rsid w:val="0095059F"/>
    <w:rsid w:val="00950A4B"/>
    <w:rsid w:val="00951C9E"/>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122B"/>
    <w:rsid w:val="00992DEA"/>
    <w:rsid w:val="009934D5"/>
    <w:rsid w:val="00993651"/>
    <w:rsid w:val="00993BDE"/>
    <w:rsid w:val="009A05E5"/>
    <w:rsid w:val="009A1A41"/>
    <w:rsid w:val="009A32B5"/>
    <w:rsid w:val="009A3300"/>
    <w:rsid w:val="009A460D"/>
    <w:rsid w:val="009A4869"/>
    <w:rsid w:val="009A5DBF"/>
    <w:rsid w:val="009B0B22"/>
    <w:rsid w:val="009B4161"/>
    <w:rsid w:val="009B5B52"/>
    <w:rsid w:val="009B5D08"/>
    <w:rsid w:val="009C1149"/>
    <w:rsid w:val="009C16D7"/>
    <w:rsid w:val="009C7131"/>
    <w:rsid w:val="009D0F8E"/>
    <w:rsid w:val="009D1CB0"/>
    <w:rsid w:val="009D4AAF"/>
    <w:rsid w:val="009D6827"/>
    <w:rsid w:val="009D7610"/>
    <w:rsid w:val="009D76E7"/>
    <w:rsid w:val="009E0804"/>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0899"/>
    <w:rsid w:val="00A2188F"/>
    <w:rsid w:val="00A22070"/>
    <w:rsid w:val="00A2235D"/>
    <w:rsid w:val="00A30397"/>
    <w:rsid w:val="00A3091F"/>
    <w:rsid w:val="00A316B9"/>
    <w:rsid w:val="00A326B3"/>
    <w:rsid w:val="00A32CE3"/>
    <w:rsid w:val="00A332F6"/>
    <w:rsid w:val="00A33763"/>
    <w:rsid w:val="00A349D9"/>
    <w:rsid w:val="00A34FE4"/>
    <w:rsid w:val="00A3503E"/>
    <w:rsid w:val="00A36904"/>
    <w:rsid w:val="00A44CF8"/>
    <w:rsid w:val="00A459FF"/>
    <w:rsid w:val="00A46767"/>
    <w:rsid w:val="00A473BC"/>
    <w:rsid w:val="00A5063A"/>
    <w:rsid w:val="00A52014"/>
    <w:rsid w:val="00A52B1A"/>
    <w:rsid w:val="00A543C3"/>
    <w:rsid w:val="00A543E4"/>
    <w:rsid w:val="00A56424"/>
    <w:rsid w:val="00A57645"/>
    <w:rsid w:val="00A64C08"/>
    <w:rsid w:val="00A723A6"/>
    <w:rsid w:val="00A74930"/>
    <w:rsid w:val="00A749BE"/>
    <w:rsid w:val="00A75237"/>
    <w:rsid w:val="00A77060"/>
    <w:rsid w:val="00A77809"/>
    <w:rsid w:val="00A8041D"/>
    <w:rsid w:val="00A80F61"/>
    <w:rsid w:val="00A811B3"/>
    <w:rsid w:val="00A85FA0"/>
    <w:rsid w:val="00A87264"/>
    <w:rsid w:val="00A87C83"/>
    <w:rsid w:val="00A90CEB"/>
    <w:rsid w:val="00A93BCD"/>
    <w:rsid w:val="00A96A3B"/>
    <w:rsid w:val="00A96E6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1D26"/>
    <w:rsid w:val="00AD40C4"/>
    <w:rsid w:val="00AD45BB"/>
    <w:rsid w:val="00AD5F12"/>
    <w:rsid w:val="00AE0846"/>
    <w:rsid w:val="00AE21B0"/>
    <w:rsid w:val="00AE28C5"/>
    <w:rsid w:val="00AE658F"/>
    <w:rsid w:val="00AE6758"/>
    <w:rsid w:val="00AF0B00"/>
    <w:rsid w:val="00AF0C4B"/>
    <w:rsid w:val="00AF0F36"/>
    <w:rsid w:val="00AF5149"/>
    <w:rsid w:val="00AF52D0"/>
    <w:rsid w:val="00AF5BDA"/>
    <w:rsid w:val="00AF6831"/>
    <w:rsid w:val="00B0081A"/>
    <w:rsid w:val="00B01D41"/>
    <w:rsid w:val="00B03552"/>
    <w:rsid w:val="00B07213"/>
    <w:rsid w:val="00B07C08"/>
    <w:rsid w:val="00B120A0"/>
    <w:rsid w:val="00B1342E"/>
    <w:rsid w:val="00B148BD"/>
    <w:rsid w:val="00B175DB"/>
    <w:rsid w:val="00B25C52"/>
    <w:rsid w:val="00B27225"/>
    <w:rsid w:val="00B3206D"/>
    <w:rsid w:val="00B32C03"/>
    <w:rsid w:val="00B33BD6"/>
    <w:rsid w:val="00B346E4"/>
    <w:rsid w:val="00B347E5"/>
    <w:rsid w:val="00B34F39"/>
    <w:rsid w:val="00B359A8"/>
    <w:rsid w:val="00B40586"/>
    <w:rsid w:val="00B4087E"/>
    <w:rsid w:val="00B42004"/>
    <w:rsid w:val="00B43418"/>
    <w:rsid w:val="00B43553"/>
    <w:rsid w:val="00B4540E"/>
    <w:rsid w:val="00B463E3"/>
    <w:rsid w:val="00B46BDE"/>
    <w:rsid w:val="00B471F8"/>
    <w:rsid w:val="00B47653"/>
    <w:rsid w:val="00B47C1D"/>
    <w:rsid w:val="00B505AB"/>
    <w:rsid w:val="00B51725"/>
    <w:rsid w:val="00B5391E"/>
    <w:rsid w:val="00B540C9"/>
    <w:rsid w:val="00B57E7F"/>
    <w:rsid w:val="00B63C01"/>
    <w:rsid w:val="00B640D6"/>
    <w:rsid w:val="00B7122C"/>
    <w:rsid w:val="00B7442D"/>
    <w:rsid w:val="00B75504"/>
    <w:rsid w:val="00B75C8F"/>
    <w:rsid w:val="00B80598"/>
    <w:rsid w:val="00B821CC"/>
    <w:rsid w:val="00B86A49"/>
    <w:rsid w:val="00B87E82"/>
    <w:rsid w:val="00B87EA3"/>
    <w:rsid w:val="00B91188"/>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9A9"/>
    <w:rsid w:val="00BE6AE1"/>
    <w:rsid w:val="00BE71D8"/>
    <w:rsid w:val="00BF1192"/>
    <w:rsid w:val="00BF1FA2"/>
    <w:rsid w:val="00BF22F1"/>
    <w:rsid w:val="00BF234B"/>
    <w:rsid w:val="00BF3112"/>
    <w:rsid w:val="00BF4E2C"/>
    <w:rsid w:val="00C0188B"/>
    <w:rsid w:val="00C02426"/>
    <w:rsid w:val="00C05549"/>
    <w:rsid w:val="00C05908"/>
    <w:rsid w:val="00C05F5F"/>
    <w:rsid w:val="00C06322"/>
    <w:rsid w:val="00C107A5"/>
    <w:rsid w:val="00C12177"/>
    <w:rsid w:val="00C121AB"/>
    <w:rsid w:val="00C1345E"/>
    <w:rsid w:val="00C1506F"/>
    <w:rsid w:val="00C1552F"/>
    <w:rsid w:val="00C16228"/>
    <w:rsid w:val="00C17D55"/>
    <w:rsid w:val="00C20921"/>
    <w:rsid w:val="00C210E4"/>
    <w:rsid w:val="00C2212A"/>
    <w:rsid w:val="00C23A87"/>
    <w:rsid w:val="00C260C2"/>
    <w:rsid w:val="00C305A6"/>
    <w:rsid w:val="00C30F04"/>
    <w:rsid w:val="00C371D7"/>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B68"/>
    <w:rsid w:val="00C75D2C"/>
    <w:rsid w:val="00C773CF"/>
    <w:rsid w:val="00C8413D"/>
    <w:rsid w:val="00C84374"/>
    <w:rsid w:val="00C849DD"/>
    <w:rsid w:val="00C8709F"/>
    <w:rsid w:val="00C872C1"/>
    <w:rsid w:val="00C94DF1"/>
    <w:rsid w:val="00C9694E"/>
    <w:rsid w:val="00CA0721"/>
    <w:rsid w:val="00CA2C1F"/>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3B"/>
    <w:rsid w:val="00CE5BF4"/>
    <w:rsid w:val="00CE7F01"/>
    <w:rsid w:val="00CF3931"/>
    <w:rsid w:val="00CF4465"/>
    <w:rsid w:val="00CF5F2F"/>
    <w:rsid w:val="00CF677C"/>
    <w:rsid w:val="00CF74C0"/>
    <w:rsid w:val="00D015DC"/>
    <w:rsid w:val="00D01A73"/>
    <w:rsid w:val="00D01C9F"/>
    <w:rsid w:val="00D01CF9"/>
    <w:rsid w:val="00D04421"/>
    <w:rsid w:val="00D04580"/>
    <w:rsid w:val="00D04CFC"/>
    <w:rsid w:val="00D06470"/>
    <w:rsid w:val="00D06696"/>
    <w:rsid w:val="00D0741D"/>
    <w:rsid w:val="00D107F3"/>
    <w:rsid w:val="00D10A72"/>
    <w:rsid w:val="00D11C9C"/>
    <w:rsid w:val="00D1525E"/>
    <w:rsid w:val="00D20C61"/>
    <w:rsid w:val="00D22FC8"/>
    <w:rsid w:val="00D239F0"/>
    <w:rsid w:val="00D24BDE"/>
    <w:rsid w:val="00D26DAD"/>
    <w:rsid w:val="00D3166F"/>
    <w:rsid w:val="00D31BE2"/>
    <w:rsid w:val="00D34E0E"/>
    <w:rsid w:val="00D40EAE"/>
    <w:rsid w:val="00D412AB"/>
    <w:rsid w:val="00D445F9"/>
    <w:rsid w:val="00D44605"/>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4AEA"/>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61E"/>
    <w:rsid w:val="00E138CD"/>
    <w:rsid w:val="00E13A79"/>
    <w:rsid w:val="00E14928"/>
    <w:rsid w:val="00E1727D"/>
    <w:rsid w:val="00E17594"/>
    <w:rsid w:val="00E20089"/>
    <w:rsid w:val="00E20094"/>
    <w:rsid w:val="00E24624"/>
    <w:rsid w:val="00E2620E"/>
    <w:rsid w:val="00E266D7"/>
    <w:rsid w:val="00E267B3"/>
    <w:rsid w:val="00E27D94"/>
    <w:rsid w:val="00E35359"/>
    <w:rsid w:val="00E35C2D"/>
    <w:rsid w:val="00E36479"/>
    <w:rsid w:val="00E36D48"/>
    <w:rsid w:val="00E377DD"/>
    <w:rsid w:val="00E42632"/>
    <w:rsid w:val="00E4274D"/>
    <w:rsid w:val="00E4571D"/>
    <w:rsid w:val="00E5060A"/>
    <w:rsid w:val="00E50CF4"/>
    <w:rsid w:val="00E55537"/>
    <w:rsid w:val="00E57888"/>
    <w:rsid w:val="00E57A01"/>
    <w:rsid w:val="00E63125"/>
    <w:rsid w:val="00E7045F"/>
    <w:rsid w:val="00E73ED8"/>
    <w:rsid w:val="00E77664"/>
    <w:rsid w:val="00E825CF"/>
    <w:rsid w:val="00E85CD3"/>
    <w:rsid w:val="00E864AB"/>
    <w:rsid w:val="00E94017"/>
    <w:rsid w:val="00E944A5"/>
    <w:rsid w:val="00E96BD9"/>
    <w:rsid w:val="00E96F57"/>
    <w:rsid w:val="00EA0C79"/>
    <w:rsid w:val="00EA11C0"/>
    <w:rsid w:val="00EA19C3"/>
    <w:rsid w:val="00EA277B"/>
    <w:rsid w:val="00EA5602"/>
    <w:rsid w:val="00EA63A6"/>
    <w:rsid w:val="00EA7D8E"/>
    <w:rsid w:val="00EB0EF4"/>
    <w:rsid w:val="00EB22F4"/>
    <w:rsid w:val="00EB50B4"/>
    <w:rsid w:val="00EB57CD"/>
    <w:rsid w:val="00EB779D"/>
    <w:rsid w:val="00EC01FB"/>
    <w:rsid w:val="00EC0343"/>
    <w:rsid w:val="00EC1E68"/>
    <w:rsid w:val="00EC21CA"/>
    <w:rsid w:val="00EC29AA"/>
    <w:rsid w:val="00EC6860"/>
    <w:rsid w:val="00ED0F45"/>
    <w:rsid w:val="00ED5D31"/>
    <w:rsid w:val="00EE3AB1"/>
    <w:rsid w:val="00EE633C"/>
    <w:rsid w:val="00EF24BE"/>
    <w:rsid w:val="00EF2E9F"/>
    <w:rsid w:val="00EF3D4E"/>
    <w:rsid w:val="00EF7925"/>
    <w:rsid w:val="00EF7CA1"/>
    <w:rsid w:val="00F00973"/>
    <w:rsid w:val="00F00E86"/>
    <w:rsid w:val="00F00ECE"/>
    <w:rsid w:val="00F01BFC"/>
    <w:rsid w:val="00F01F9B"/>
    <w:rsid w:val="00F02CA9"/>
    <w:rsid w:val="00F04BBF"/>
    <w:rsid w:val="00F04F9A"/>
    <w:rsid w:val="00F11897"/>
    <w:rsid w:val="00F12EDB"/>
    <w:rsid w:val="00F13582"/>
    <w:rsid w:val="00F13D6B"/>
    <w:rsid w:val="00F1637C"/>
    <w:rsid w:val="00F20781"/>
    <w:rsid w:val="00F20FEC"/>
    <w:rsid w:val="00F22ABB"/>
    <w:rsid w:val="00F23825"/>
    <w:rsid w:val="00F2443E"/>
    <w:rsid w:val="00F25669"/>
    <w:rsid w:val="00F3470C"/>
    <w:rsid w:val="00F3673B"/>
    <w:rsid w:val="00F40209"/>
    <w:rsid w:val="00F40751"/>
    <w:rsid w:val="00F41E89"/>
    <w:rsid w:val="00F42DC3"/>
    <w:rsid w:val="00F455A7"/>
    <w:rsid w:val="00F47E92"/>
    <w:rsid w:val="00F52656"/>
    <w:rsid w:val="00F52D61"/>
    <w:rsid w:val="00F5536F"/>
    <w:rsid w:val="00F558DD"/>
    <w:rsid w:val="00F6061B"/>
    <w:rsid w:val="00F666D0"/>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6C"/>
    <w:rsid w:val="00FA55FF"/>
    <w:rsid w:val="00FA5AD5"/>
    <w:rsid w:val="00FA5DB1"/>
    <w:rsid w:val="00FA6F8F"/>
    <w:rsid w:val="00FB0097"/>
    <w:rsid w:val="00FB0C7D"/>
    <w:rsid w:val="00FB1FDB"/>
    <w:rsid w:val="00FB5889"/>
    <w:rsid w:val="00FB5BF7"/>
    <w:rsid w:val="00FB68F9"/>
    <w:rsid w:val="00FC2A9A"/>
    <w:rsid w:val="00FC2C06"/>
    <w:rsid w:val="00FC39DC"/>
    <w:rsid w:val="00FC67A5"/>
    <w:rsid w:val="00FD05E0"/>
    <w:rsid w:val="00FD1164"/>
    <w:rsid w:val="00FD373C"/>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77751265">
      <w:bodyDiv w:val="1"/>
      <w:marLeft w:val="0"/>
      <w:marRight w:val="0"/>
      <w:marTop w:val="0"/>
      <w:marBottom w:val="0"/>
      <w:divBdr>
        <w:top w:val="none" w:sz="0" w:space="0" w:color="auto"/>
        <w:left w:val="none" w:sz="0" w:space="0" w:color="auto"/>
        <w:bottom w:val="none" w:sz="0" w:space="0" w:color="auto"/>
        <w:right w:val="none" w:sz="0" w:space="0" w:color="auto"/>
      </w:divBdr>
    </w:div>
    <w:div w:id="126435323">
      <w:bodyDiv w:val="1"/>
      <w:marLeft w:val="0"/>
      <w:marRight w:val="0"/>
      <w:marTop w:val="0"/>
      <w:marBottom w:val="0"/>
      <w:divBdr>
        <w:top w:val="none" w:sz="0" w:space="0" w:color="auto"/>
        <w:left w:val="none" w:sz="0" w:space="0" w:color="auto"/>
        <w:bottom w:val="none" w:sz="0" w:space="0" w:color="auto"/>
        <w:right w:val="none" w:sz="0" w:space="0" w:color="auto"/>
      </w:divBdr>
    </w:div>
    <w:div w:id="14142845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233442323">
      <w:bodyDiv w:val="1"/>
      <w:marLeft w:val="0"/>
      <w:marRight w:val="0"/>
      <w:marTop w:val="0"/>
      <w:marBottom w:val="0"/>
      <w:divBdr>
        <w:top w:val="none" w:sz="0" w:space="0" w:color="auto"/>
        <w:left w:val="none" w:sz="0" w:space="0" w:color="auto"/>
        <w:bottom w:val="none" w:sz="0" w:space="0" w:color="auto"/>
        <w:right w:val="none" w:sz="0" w:space="0" w:color="auto"/>
      </w:divBdr>
    </w:div>
    <w:div w:id="264927690">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408502077">
      <w:bodyDiv w:val="1"/>
      <w:marLeft w:val="0"/>
      <w:marRight w:val="0"/>
      <w:marTop w:val="0"/>
      <w:marBottom w:val="0"/>
      <w:divBdr>
        <w:top w:val="none" w:sz="0" w:space="0" w:color="auto"/>
        <w:left w:val="none" w:sz="0" w:space="0" w:color="auto"/>
        <w:bottom w:val="none" w:sz="0" w:space="0" w:color="auto"/>
        <w:right w:val="none" w:sz="0" w:space="0" w:color="auto"/>
      </w:divBdr>
    </w:div>
    <w:div w:id="467015279">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564293430">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08321922">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94588233">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2538728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10838335">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7651755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671260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870557972">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3.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E38DDB8B-2B5C-40E1-B61A-9B2F9CD9C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9</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372</cp:revision>
  <dcterms:created xsi:type="dcterms:W3CDTF">2023-03-23T23:03:00Z</dcterms:created>
  <dcterms:modified xsi:type="dcterms:W3CDTF">2023-12-05T06:32:00Z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